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6C3" w:rsidRDefault="00A576C3" w:rsidP="00A576C3">
      <w:pPr>
        <w:jc w:val="center"/>
      </w:pPr>
      <w:r>
        <w:t xml:space="preserve">Medical Assistance EBD Related Training Evaluation – </w:t>
      </w:r>
      <w:r>
        <w:rPr>
          <w:b/>
          <w:bCs/>
          <w:i/>
          <w:iCs/>
        </w:rPr>
        <w:t>Answers</w:t>
      </w:r>
    </w:p>
    <w:p w:rsidR="00A576C3" w:rsidRDefault="00A576C3" w:rsidP="00A576C3">
      <w:pPr>
        <w:jc w:val="center"/>
      </w:pPr>
      <w:r>
        <w:t>(March 2021)</w:t>
      </w:r>
    </w:p>
    <w:p w:rsidR="00A576C3" w:rsidRDefault="00A576C3" w:rsidP="00A576C3">
      <w:pPr>
        <w:jc w:val="center"/>
      </w:pPr>
    </w:p>
    <w:p w:rsidR="00A576C3" w:rsidRPr="00B012F1" w:rsidRDefault="00A576C3" w:rsidP="00A576C3">
      <w:pPr>
        <w:rPr>
          <w:b/>
          <w:bCs/>
          <w:u w:val="single"/>
        </w:rPr>
      </w:pPr>
      <w:r w:rsidRPr="00B012F1">
        <w:rPr>
          <w:b/>
          <w:bCs/>
          <w:u w:val="single"/>
        </w:rPr>
        <w:t>TRUE OR FALSE</w:t>
      </w:r>
    </w:p>
    <w:p w:rsidR="00A576C3" w:rsidRDefault="00A576C3" w:rsidP="00A576C3"/>
    <w:p w:rsidR="00A576C3" w:rsidRDefault="00A576C3" w:rsidP="00A576C3">
      <w:pPr>
        <w:pStyle w:val="ListParagraph"/>
        <w:numPr>
          <w:ilvl w:val="0"/>
          <w:numId w:val="1"/>
        </w:numPr>
      </w:pPr>
      <w:r>
        <w:t>TRUE/</w:t>
      </w:r>
      <w:r w:rsidRPr="003F0F9E">
        <w:rPr>
          <w:highlight w:val="yellow"/>
        </w:rPr>
        <w:t>FALSE</w:t>
      </w:r>
      <w:r>
        <w:t>: SSI-Related EBD MA has an asset limit of $2000 for a single adult and an asset limit of $4,000 for married couples.</w:t>
      </w:r>
    </w:p>
    <w:p w:rsidR="00A576C3" w:rsidRDefault="00A576C3" w:rsidP="00A576C3">
      <w:pPr>
        <w:pStyle w:val="ListParagraph"/>
        <w:ind w:left="360"/>
      </w:pPr>
    </w:p>
    <w:p w:rsidR="00A576C3" w:rsidRDefault="00A576C3" w:rsidP="00A576C3">
      <w:pPr>
        <w:pStyle w:val="ListParagraph"/>
        <w:numPr>
          <w:ilvl w:val="0"/>
          <w:numId w:val="1"/>
        </w:numPr>
      </w:pPr>
      <w:r w:rsidRPr="003F0F9E">
        <w:rPr>
          <w:highlight w:val="yellow"/>
        </w:rPr>
        <w:t>TRUE</w:t>
      </w:r>
      <w:r>
        <w:t xml:space="preserve">/FALSE: MAPP has an asset limit of $15,000. </w:t>
      </w:r>
    </w:p>
    <w:p w:rsidR="00A576C3" w:rsidRPr="003F0F9E" w:rsidRDefault="00A576C3" w:rsidP="00A576C3">
      <w:pPr>
        <w:pStyle w:val="ListParagraph"/>
        <w:rPr>
          <w:b/>
          <w:bCs/>
        </w:rPr>
      </w:pPr>
    </w:p>
    <w:p w:rsidR="00A576C3" w:rsidRPr="003F0F9E" w:rsidRDefault="00A576C3" w:rsidP="00A576C3">
      <w:pPr>
        <w:pStyle w:val="ListParagraph"/>
        <w:numPr>
          <w:ilvl w:val="0"/>
          <w:numId w:val="1"/>
        </w:numPr>
      </w:pPr>
      <w:r w:rsidRPr="003F0F9E">
        <w:rPr>
          <w:bCs/>
          <w:highlight w:val="yellow"/>
        </w:rPr>
        <w:t>TRUE</w:t>
      </w:r>
      <w:r>
        <w:rPr>
          <w:bCs/>
        </w:rPr>
        <w:t xml:space="preserve">/FALSE: </w:t>
      </w:r>
      <w:r w:rsidRPr="003F0F9E">
        <w:rPr>
          <w:b/>
          <w:bCs/>
        </w:rPr>
        <w:t xml:space="preserve"> </w:t>
      </w:r>
      <w:r w:rsidRPr="003F0F9E">
        <w:rPr>
          <w:bCs/>
        </w:rPr>
        <w:t>When both members of a married couple (living together) apply for MAPP, each person must be in a separate Assistance Group</w:t>
      </w:r>
      <w:r>
        <w:rPr>
          <w:bCs/>
        </w:rPr>
        <w:t>.</w:t>
      </w:r>
    </w:p>
    <w:p w:rsidR="00A576C3" w:rsidRDefault="00A576C3" w:rsidP="00A576C3">
      <w:pPr>
        <w:pStyle w:val="ListParagraph"/>
      </w:pPr>
    </w:p>
    <w:p w:rsidR="00A576C3" w:rsidRDefault="00A576C3" w:rsidP="00A576C3">
      <w:pPr>
        <w:pStyle w:val="ListParagraph"/>
        <w:numPr>
          <w:ilvl w:val="0"/>
          <w:numId w:val="1"/>
        </w:numPr>
      </w:pPr>
      <w:r w:rsidRPr="003F0F9E">
        <w:rPr>
          <w:highlight w:val="yellow"/>
        </w:rPr>
        <w:t>TRUE</w:t>
      </w:r>
      <w:r>
        <w:t xml:space="preserve">/FALSE: </w:t>
      </w:r>
      <w:r w:rsidRPr="003F0F9E">
        <w:t>Do not count income as an asset in the month it was received when determining the countable asset amount.</w:t>
      </w:r>
    </w:p>
    <w:p w:rsidR="00A576C3" w:rsidRDefault="00A576C3" w:rsidP="00A576C3">
      <w:pPr>
        <w:pStyle w:val="ListParagraph"/>
      </w:pPr>
    </w:p>
    <w:p w:rsidR="00A576C3" w:rsidRDefault="00A576C3" w:rsidP="00A576C3">
      <w:pPr>
        <w:pStyle w:val="ListParagraph"/>
        <w:numPr>
          <w:ilvl w:val="0"/>
          <w:numId w:val="1"/>
        </w:numPr>
      </w:pPr>
      <w:r>
        <w:t>TRUE/</w:t>
      </w:r>
      <w:r w:rsidRPr="00FA760C">
        <w:rPr>
          <w:highlight w:val="yellow"/>
        </w:rPr>
        <w:t>FALSE</w:t>
      </w:r>
      <w:r>
        <w:t>: Personal affects and household goods are counted assets for EBD MA.</w:t>
      </w:r>
    </w:p>
    <w:p w:rsidR="00A576C3" w:rsidRDefault="00A576C3" w:rsidP="00A576C3">
      <w:pPr>
        <w:pStyle w:val="ListParagraph"/>
      </w:pPr>
    </w:p>
    <w:p w:rsidR="00A576C3" w:rsidRDefault="00A576C3" w:rsidP="00A576C3">
      <w:pPr>
        <w:pStyle w:val="ListParagraph"/>
        <w:numPr>
          <w:ilvl w:val="0"/>
          <w:numId w:val="1"/>
        </w:numPr>
      </w:pPr>
      <w:r>
        <w:t>TRUE/</w:t>
      </w:r>
      <w:r w:rsidRPr="00FA760C">
        <w:rPr>
          <w:highlight w:val="yellow"/>
        </w:rPr>
        <w:t>FALSE</w:t>
      </w:r>
      <w:r>
        <w:t>: L</w:t>
      </w:r>
      <w:r w:rsidRPr="00FA760C">
        <w:t xml:space="preserve">iquid </w:t>
      </w:r>
      <w:r>
        <w:t xml:space="preserve">asset information received through CWW’s </w:t>
      </w:r>
      <w:r w:rsidRPr="00FA760C">
        <w:t xml:space="preserve">Asset Verification System (AVS) </w:t>
      </w:r>
      <w:r>
        <w:t>is considered verified upon receipt</w:t>
      </w:r>
      <w:r w:rsidRPr="00FA760C">
        <w:t>.</w:t>
      </w:r>
    </w:p>
    <w:p w:rsidR="00A576C3" w:rsidRDefault="00A576C3" w:rsidP="00A576C3">
      <w:pPr>
        <w:pStyle w:val="ListParagraph"/>
      </w:pPr>
    </w:p>
    <w:p w:rsidR="00A576C3" w:rsidRDefault="00A576C3" w:rsidP="00A576C3">
      <w:pPr>
        <w:pStyle w:val="ListParagraph"/>
        <w:numPr>
          <w:ilvl w:val="0"/>
          <w:numId w:val="1"/>
        </w:numPr>
      </w:pPr>
      <w:r w:rsidRPr="007F753E">
        <w:rPr>
          <w:highlight w:val="yellow"/>
        </w:rPr>
        <w:t>TRUE</w:t>
      </w:r>
      <w:r>
        <w:t xml:space="preserve">/FALSE: </w:t>
      </w:r>
      <w:r w:rsidRPr="007F753E">
        <w:t>The reasonable compatibility test will only be applied to AVS liquid assets that have not otherwise been verified</w:t>
      </w:r>
      <w:r>
        <w:t>.</w:t>
      </w:r>
    </w:p>
    <w:p w:rsidR="00A576C3" w:rsidRDefault="00A576C3" w:rsidP="00A576C3">
      <w:pPr>
        <w:pStyle w:val="ListParagraph"/>
      </w:pPr>
    </w:p>
    <w:p w:rsidR="00A576C3" w:rsidRDefault="00A576C3" w:rsidP="00A576C3">
      <w:pPr>
        <w:pStyle w:val="ListParagraph"/>
        <w:numPr>
          <w:ilvl w:val="0"/>
          <w:numId w:val="1"/>
        </w:numPr>
      </w:pPr>
      <w:r w:rsidRPr="00A710F0">
        <w:rPr>
          <w:highlight w:val="yellow"/>
        </w:rPr>
        <w:t>TRUE</w:t>
      </w:r>
      <w:r>
        <w:t xml:space="preserve">/FALSE: </w:t>
      </w:r>
      <w:r w:rsidRPr="00A710F0">
        <w:t>Members receiving Medicare Part A coverage who chose not to enroll in Part B may be eligible to enroll in Part B via the M</w:t>
      </w:r>
      <w:r>
        <w:t xml:space="preserve">edicare </w:t>
      </w:r>
      <w:r w:rsidRPr="00A710F0">
        <w:t>S</w:t>
      </w:r>
      <w:r>
        <w:t xml:space="preserve">avings </w:t>
      </w:r>
      <w:r w:rsidRPr="00A710F0">
        <w:t>P</w:t>
      </w:r>
      <w:r>
        <w:t>rogram</w:t>
      </w:r>
      <w:r w:rsidRPr="00A710F0">
        <w:t xml:space="preserve"> process with the state.</w:t>
      </w:r>
    </w:p>
    <w:p w:rsidR="00A576C3" w:rsidRDefault="00A576C3" w:rsidP="00A576C3">
      <w:pPr>
        <w:pStyle w:val="ListParagraph"/>
      </w:pPr>
    </w:p>
    <w:p w:rsidR="00A576C3" w:rsidRDefault="00A576C3" w:rsidP="00A576C3">
      <w:pPr>
        <w:pStyle w:val="ListParagraph"/>
        <w:numPr>
          <w:ilvl w:val="0"/>
          <w:numId w:val="1"/>
        </w:numPr>
      </w:pPr>
      <w:r w:rsidRPr="00A710F0">
        <w:rPr>
          <w:highlight w:val="yellow"/>
        </w:rPr>
        <w:t>TRUE</w:t>
      </w:r>
      <w:r>
        <w:t>/FALSE: When determining if a vehicle is a counted asset and there is more than one vehicle owned, you will typically exclude</w:t>
      </w:r>
      <w:r w:rsidRPr="00A710F0">
        <w:t xml:space="preserve"> the vehicle with the greatest equity value.</w:t>
      </w:r>
    </w:p>
    <w:p w:rsidR="00A576C3" w:rsidRDefault="00A576C3" w:rsidP="00A576C3">
      <w:pPr>
        <w:pStyle w:val="ListParagraph"/>
      </w:pPr>
    </w:p>
    <w:p w:rsidR="00A576C3" w:rsidRDefault="00A576C3" w:rsidP="00A576C3">
      <w:pPr>
        <w:pStyle w:val="ListParagraph"/>
        <w:numPr>
          <w:ilvl w:val="0"/>
          <w:numId w:val="1"/>
        </w:numPr>
      </w:pPr>
      <w:r>
        <w:t>TRUE/</w:t>
      </w:r>
      <w:r w:rsidRPr="005A2FAE">
        <w:rPr>
          <w:highlight w:val="yellow"/>
        </w:rPr>
        <w:t>FALSE</w:t>
      </w:r>
      <w:r>
        <w:t>: The Diary Date on the disability page in CWW is informational only and does not require attention.</w:t>
      </w:r>
    </w:p>
    <w:p w:rsidR="00A576C3" w:rsidRDefault="00A576C3" w:rsidP="00A576C3">
      <w:r>
        <w:t xml:space="preserve">          </w:t>
      </w:r>
    </w:p>
    <w:p w:rsidR="00A576C3" w:rsidRPr="00B012F1" w:rsidRDefault="00A576C3" w:rsidP="00A576C3">
      <w:pPr>
        <w:rPr>
          <w:b/>
          <w:bCs/>
          <w:u w:val="single"/>
        </w:rPr>
      </w:pPr>
      <w:r w:rsidRPr="00B012F1">
        <w:rPr>
          <w:b/>
          <w:bCs/>
          <w:u w:val="single"/>
        </w:rPr>
        <w:t>MULTIPLE CHOICE</w:t>
      </w:r>
    </w:p>
    <w:p w:rsidR="00A576C3" w:rsidRDefault="00A576C3" w:rsidP="00A576C3"/>
    <w:p w:rsidR="00A576C3" w:rsidRDefault="00A576C3" w:rsidP="00A576C3">
      <w:pPr>
        <w:pStyle w:val="ListParagraph"/>
        <w:numPr>
          <w:ilvl w:val="0"/>
          <w:numId w:val="1"/>
        </w:numPr>
      </w:pPr>
      <w:r>
        <w:t xml:space="preserve">EBD Deductible periods run for ___ consecutive months. </w:t>
      </w:r>
    </w:p>
    <w:p w:rsidR="00A576C3" w:rsidRDefault="00A576C3" w:rsidP="00A576C3">
      <w:r>
        <w:t xml:space="preserve"> </w:t>
      </w:r>
    </w:p>
    <w:p w:rsidR="00A576C3" w:rsidRDefault="00A576C3" w:rsidP="00A576C3">
      <w:pPr>
        <w:pStyle w:val="ListParagraph"/>
        <w:numPr>
          <w:ilvl w:val="0"/>
          <w:numId w:val="2"/>
        </w:numPr>
      </w:pPr>
      <w:r>
        <w:t>3</w:t>
      </w:r>
    </w:p>
    <w:p w:rsidR="00A576C3" w:rsidRPr="007D11CB" w:rsidRDefault="00A576C3" w:rsidP="00A576C3">
      <w:pPr>
        <w:pStyle w:val="ListParagraph"/>
        <w:numPr>
          <w:ilvl w:val="0"/>
          <w:numId w:val="2"/>
        </w:numPr>
        <w:rPr>
          <w:highlight w:val="yellow"/>
        </w:rPr>
      </w:pPr>
      <w:r w:rsidRPr="007D11CB">
        <w:rPr>
          <w:highlight w:val="yellow"/>
        </w:rPr>
        <w:t>6</w:t>
      </w:r>
    </w:p>
    <w:p w:rsidR="00A576C3" w:rsidRDefault="00A576C3" w:rsidP="00A576C3">
      <w:pPr>
        <w:pStyle w:val="ListParagraph"/>
        <w:numPr>
          <w:ilvl w:val="0"/>
          <w:numId w:val="2"/>
        </w:numPr>
      </w:pPr>
      <w:r>
        <w:t>9</w:t>
      </w:r>
    </w:p>
    <w:p w:rsidR="00A576C3" w:rsidRDefault="00A576C3" w:rsidP="00A576C3">
      <w:pPr>
        <w:pStyle w:val="ListParagraph"/>
        <w:numPr>
          <w:ilvl w:val="0"/>
          <w:numId w:val="2"/>
        </w:numPr>
      </w:pPr>
      <w:r>
        <w:t xml:space="preserve">12 </w:t>
      </w:r>
    </w:p>
    <w:p w:rsidR="00A576C3" w:rsidRDefault="00A576C3" w:rsidP="00A576C3"/>
    <w:p w:rsidR="00A576C3" w:rsidRDefault="00A576C3" w:rsidP="00A576C3">
      <w:pPr>
        <w:pStyle w:val="ListParagraph"/>
        <w:numPr>
          <w:ilvl w:val="0"/>
          <w:numId w:val="1"/>
        </w:numPr>
      </w:pPr>
      <w:r>
        <w:t>______ is considered a valid MAPP work activity.</w:t>
      </w:r>
    </w:p>
    <w:p w:rsidR="00A576C3" w:rsidRDefault="00A576C3" w:rsidP="00A576C3"/>
    <w:p w:rsidR="00A576C3" w:rsidRDefault="00A576C3" w:rsidP="00A576C3">
      <w:pPr>
        <w:pStyle w:val="ListParagraph"/>
        <w:numPr>
          <w:ilvl w:val="0"/>
          <w:numId w:val="3"/>
        </w:numPr>
      </w:pPr>
      <w:r>
        <w:t>HEC</w:t>
      </w:r>
    </w:p>
    <w:p w:rsidR="00A576C3" w:rsidRDefault="00A576C3" w:rsidP="00A576C3">
      <w:pPr>
        <w:pStyle w:val="ListParagraph"/>
        <w:numPr>
          <w:ilvl w:val="0"/>
          <w:numId w:val="3"/>
        </w:numPr>
      </w:pPr>
      <w:r>
        <w:t>In-Kind employment</w:t>
      </w:r>
    </w:p>
    <w:p w:rsidR="00A576C3" w:rsidRDefault="00A576C3" w:rsidP="00A576C3">
      <w:pPr>
        <w:pStyle w:val="ListParagraph"/>
        <w:numPr>
          <w:ilvl w:val="0"/>
          <w:numId w:val="3"/>
        </w:numPr>
      </w:pPr>
      <w:r>
        <w:t>Self-employment</w:t>
      </w:r>
    </w:p>
    <w:p w:rsidR="00A576C3" w:rsidRDefault="00A576C3" w:rsidP="00A576C3">
      <w:pPr>
        <w:pStyle w:val="ListParagraph"/>
        <w:numPr>
          <w:ilvl w:val="0"/>
          <w:numId w:val="3"/>
        </w:numPr>
      </w:pPr>
      <w:r>
        <w:t>Traditional employment</w:t>
      </w:r>
    </w:p>
    <w:p w:rsidR="00A576C3" w:rsidRDefault="00A576C3" w:rsidP="00A576C3">
      <w:pPr>
        <w:pStyle w:val="ListParagraph"/>
        <w:numPr>
          <w:ilvl w:val="0"/>
          <w:numId w:val="3"/>
        </w:numPr>
      </w:pPr>
      <w:r>
        <w:t>Cash work</w:t>
      </w:r>
    </w:p>
    <w:p w:rsidR="00A576C3" w:rsidRPr="007D11CB" w:rsidRDefault="00A576C3" w:rsidP="00A576C3">
      <w:pPr>
        <w:pStyle w:val="ListParagraph"/>
        <w:numPr>
          <w:ilvl w:val="0"/>
          <w:numId w:val="3"/>
        </w:numPr>
        <w:rPr>
          <w:highlight w:val="yellow"/>
        </w:rPr>
      </w:pPr>
      <w:r w:rsidRPr="007D11CB">
        <w:rPr>
          <w:highlight w:val="yellow"/>
        </w:rPr>
        <w:t>All of the Above</w:t>
      </w:r>
    </w:p>
    <w:p w:rsidR="00A576C3" w:rsidRDefault="00A576C3" w:rsidP="00A576C3"/>
    <w:p w:rsidR="00A576C3" w:rsidRDefault="00A576C3" w:rsidP="00A576C3">
      <w:r>
        <w:t>13.  MADA applications are electronically sent through CWW to the _________.</w:t>
      </w:r>
    </w:p>
    <w:p w:rsidR="00A576C3" w:rsidRPr="007D11CB" w:rsidRDefault="00A576C3" w:rsidP="00A576C3">
      <w:pPr>
        <w:pStyle w:val="ListParagraph"/>
        <w:numPr>
          <w:ilvl w:val="0"/>
          <w:numId w:val="4"/>
        </w:numPr>
      </w:pPr>
      <w:r w:rsidRPr="007D11CB">
        <w:t>Aging and Disability Resource Center</w:t>
      </w:r>
    </w:p>
    <w:p w:rsidR="00A576C3" w:rsidRDefault="00A576C3" w:rsidP="00A576C3">
      <w:pPr>
        <w:numPr>
          <w:ilvl w:val="0"/>
          <w:numId w:val="4"/>
        </w:numPr>
        <w:tabs>
          <w:tab w:val="left" w:pos="1080"/>
        </w:tabs>
      </w:pPr>
      <w:r w:rsidRPr="007D11CB">
        <w:t>Social Security Administration</w:t>
      </w:r>
    </w:p>
    <w:p w:rsidR="00A576C3" w:rsidRPr="002C51D2" w:rsidRDefault="00A576C3" w:rsidP="00A576C3">
      <w:pPr>
        <w:numPr>
          <w:ilvl w:val="0"/>
          <w:numId w:val="4"/>
        </w:numPr>
        <w:tabs>
          <w:tab w:val="left" w:pos="1080"/>
        </w:tabs>
        <w:rPr>
          <w:bCs/>
          <w:iCs/>
          <w:highlight w:val="yellow"/>
        </w:rPr>
      </w:pPr>
      <w:r w:rsidRPr="007D11CB">
        <w:rPr>
          <w:bCs/>
          <w:iCs/>
          <w:highlight w:val="yellow"/>
        </w:rPr>
        <w:t>Disability Dete</w:t>
      </w:r>
      <w:r>
        <w:rPr>
          <w:bCs/>
          <w:iCs/>
          <w:highlight w:val="yellow"/>
        </w:rPr>
        <w:t>rmination Bureau</w:t>
      </w:r>
    </w:p>
    <w:p w:rsidR="00A576C3" w:rsidRPr="007D11CB" w:rsidRDefault="00A576C3" w:rsidP="00A576C3">
      <w:pPr>
        <w:numPr>
          <w:ilvl w:val="0"/>
          <w:numId w:val="4"/>
        </w:numPr>
        <w:tabs>
          <w:tab w:val="left" w:pos="1080"/>
        </w:tabs>
      </w:pPr>
      <w:proofErr w:type="spellStart"/>
      <w:r w:rsidRPr="007D11CB">
        <w:t>ForwardHealth</w:t>
      </w:r>
      <w:proofErr w:type="spellEnd"/>
      <w:r w:rsidRPr="007D11CB">
        <w:t xml:space="preserve"> Member Services</w:t>
      </w:r>
    </w:p>
    <w:p w:rsidR="00A576C3" w:rsidRDefault="00A576C3" w:rsidP="00A576C3">
      <w:pPr>
        <w:pStyle w:val="NormalWeb"/>
        <w:rPr>
          <w:rFonts w:ascii="Times New Roman" w:eastAsia="Times New Roman" w:hAnsi="Times New Roman" w:cs="Times New Roman"/>
        </w:rPr>
      </w:pPr>
    </w:p>
    <w:p w:rsidR="00A576C3" w:rsidRDefault="00A576C3" w:rsidP="00A576C3">
      <w:r>
        <w:t xml:space="preserve"> 14.  (Choose two) For Medicaid applicants, Presumptive Disability is determined by the ________ or ________.</w:t>
      </w:r>
    </w:p>
    <w:p w:rsidR="00A576C3" w:rsidRDefault="00A576C3" w:rsidP="00A576C3"/>
    <w:p w:rsidR="00A576C3" w:rsidRPr="007D11CB" w:rsidRDefault="00A576C3" w:rsidP="00A576C3">
      <w:pPr>
        <w:numPr>
          <w:ilvl w:val="0"/>
          <w:numId w:val="5"/>
        </w:numPr>
        <w:rPr>
          <w:highlight w:val="yellow"/>
        </w:rPr>
      </w:pPr>
      <w:r w:rsidRPr="007D11CB">
        <w:rPr>
          <w:highlight w:val="yellow"/>
        </w:rPr>
        <w:t>Economic Support Agency</w:t>
      </w:r>
    </w:p>
    <w:p w:rsidR="00A576C3" w:rsidRDefault="00A576C3" w:rsidP="00A576C3">
      <w:pPr>
        <w:numPr>
          <w:ilvl w:val="0"/>
          <w:numId w:val="5"/>
        </w:numPr>
      </w:pPr>
      <w:r>
        <w:t>Social Security Administration</w:t>
      </w:r>
    </w:p>
    <w:p w:rsidR="00A576C3" w:rsidRDefault="00A576C3" w:rsidP="00A576C3">
      <w:pPr>
        <w:numPr>
          <w:ilvl w:val="0"/>
          <w:numId w:val="5"/>
        </w:numPr>
      </w:pPr>
      <w:r>
        <w:t>Hospital</w:t>
      </w:r>
    </w:p>
    <w:p w:rsidR="00A576C3" w:rsidRPr="002C51D2" w:rsidRDefault="00A576C3" w:rsidP="00A576C3">
      <w:pPr>
        <w:numPr>
          <w:ilvl w:val="0"/>
          <w:numId w:val="5"/>
        </w:numPr>
        <w:rPr>
          <w:highlight w:val="yellow"/>
        </w:rPr>
      </w:pPr>
      <w:r>
        <w:rPr>
          <w:highlight w:val="yellow"/>
        </w:rPr>
        <w:t>Disability Determination Bureau</w:t>
      </w:r>
    </w:p>
    <w:p w:rsidR="00A576C3" w:rsidRDefault="00A576C3" w:rsidP="00A576C3">
      <w:pPr>
        <w:pStyle w:val="NormalWeb"/>
        <w:rPr>
          <w:rFonts w:ascii="Times New Roman" w:eastAsia="Times New Roman" w:hAnsi="Times New Roman" w:cs="Times New Roman"/>
        </w:rPr>
      </w:pPr>
    </w:p>
    <w:p w:rsidR="00A576C3" w:rsidRDefault="00A576C3" w:rsidP="00A576C3">
      <w:r>
        <w:t xml:space="preserve"> 15.  </w:t>
      </w:r>
      <w:r w:rsidRPr="00C10466">
        <w:t xml:space="preserve">There is no limit to how many temporary </w:t>
      </w:r>
      <w:r>
        <w:t xml:space="preserve">MAPP </w:t>
      </w:r>
      <w:r w:rsidRPr="00C10466">
        <w:t xml:space="preserve">premium waivers may be requested, </w:t>
      </w:r>
      <w:r>
        <w:t xml:space="preserve">but MAPP </w:t>
      </w:r>
      <w:r w:rsidRPr="00C10466">
        <w:t>premium waiver</w:t>
      </w:r>
      <w:r>
        <w:t>s cannot exceed ________</w:t>
      </w:r>
      <w:r w:rsidRPr="00C10466">
        <w:t xml:space="preserve"> in duration for the same hardship reason.</w:t>
      </w:r>
    </w:p>
    <w:p w:rsidR="00A576C3" w:rsidRDefault="00A576C3" w:rsidP="00A576C3"/>
    <w:p w:rsidR="00A576C3" w:rsidRDefault="00A576C3" w:rsidP="00A576C3">
      <w:pPr>
        <w:pStyle w:val="ListParagraph"/>
        <w:numPr>
          <w:ilvl w:val="0"/>
          <w:numId w:val="6"/>
        </w:numPr>
      </w:pPr>
      <w:r>
        <w:t>1 month</w:t>
      </w:r>
    </w:p>
    <w:p w:rsidR="00A576C3" w:rsidRDefault="00A576C3" w:rsidP="00A576C3">
      <w:pPr>
        <w:pStyle w:val="ListParagraph"/>
        <w:numPr>
          <w:ilvl w:val="0"/>
          <w:numId w:val="6"/>
        </w:numPr>
      </w:pPr>
      <w:r>
        <w:t>6 months</w:t>
      </w:r>
    </w:p>
    <w:p w:rsidR="00A576C3" w:rsidRDefault="00A576C3" w:rsidP="00A576C3">
      <w:pPr>
        <w:pStyle w:val="ListParagraph"/>
        <w:numPr>
          <w:ilvl w:val="0"/>
          <w:numId w:val="6"/>
        </w:numPr>
      </w:pPr>
      <w:r>
        <w:t>3 months</w:t>
      </w:r>
    </w:p>
    <w:p w:rsidR="00A576C3" w:rsidRPr="00C10466" w:rsidRDefault="00A576C3" w:rsidP="00A576C3">
      <w:pPr>
        <w:pStyle w:val="ListParagraph"/>
        <w:numPr>
          <w:ilvl w:val="0"/>
          <w:numId w:val="6"/>
        </w:numPr>
        <w:rPr>
          <w:highlight w:val="yellow"/>
        </w:rPr>
      </w:pPr>
      <w:r w:rsidRPr="00C10466">
        <w:rPr>
          <w:highlight w:val="yellow"/>
        </w:rPr>
        <w:t>12 months</w:t>
      </w:r>
    </w:p>
    <w:p w:rsidR="00A576C3" w:rsidRDefault="00A576C3" w:rsidP="00A576C3">
      <w:pPr>
        <w:pStyle w:val="NormalWeb"/>
        <w:rPr>
          <w:rFonts w:ascii="Times New Roman" w:hAnsi="Times New Roman" w:cs="Times New Roman"/>
        </w:rPr>
      </w:pPr>
    </w:p>
    <w:p w:rsidR="00A576C3" w:rsidRDefault="00A576C3" w:rsidP="00A576C3"/>
    <w:p w:rsidR="00A576C3" w:rsidRPr="00B012F1" w:rsidRDefault="00A576C3" w:rsidP="00A576C3">
      <w:pPr>
        <w:rPr>
          <w:b/>
          <w:bCs/>
          <w:u w:val="single"/>
        </w:rPr>
      </w:pPr>
      <w:r w:rsidRPr="00B012F1">
        <w:rPr>
          <w:b/>
          <w:bCs/>
          <w:u w:val="single"/>
        </w:rPr>
        <w:t>SHORT ANSWER</w:t>
      </w:r>
    </w:p>
    <w:p w:rsidR="00A576C3" w:rsidRDefault="00A576C3" w:rsidP="00A576C3"/>
    <w:p w:rsidR="00A576C3" w:rsidRDefault="00A576C3" w:rsidP="00A576C3">
      <w:pPr>
        <w:rPr>
          <w:b/>
          <w:bCs/>
        </w:rPr>
      </w:pPr>
      <w:r>
        <w:t xml:space="preserve">16. An applicant can choose when their Medicaid Deductible begins.  If the person applies in January, what are the possible begin months for the deductible? </w:t>
      </w:r>
    </w:p>
    <w:p w:rsidR="00A576C3" w:rsidRDefault="00A576C3" w:rsidP="00A576C3">
      <w:pPr>
        <w:rPr>
          <w:bCs/>
          <w:color w:val="FF0000"/>
        </w:rPr>
      </w:pPr>
    </w:p>
    <w:p w:rsidR="00A576C3" w:rsidRDefault="00A576C3" w:rsidP="00A576C3">
      <w:pPr>
        <w:ind w:left="720"/>
        <w:rPr>
          <w:bCs/>
          <w:color w:val="FF0000"/>
        </w:rPr>
      </w:pPr>
      <w:r>
        <w:rPr>
          <w:bCs/>
          <w:color w:val="FF0000"/>
        </w:rPr>
        <w:t xml:space="preserve">Oct, Nov, Dec, Jan, or Feb. </w:t>
      </w:r>
    </w:p>
    <w:p w:rsidR="00A576C3" w:rsidRDefault="00A576C3" w:rsidP="00A576C3">
      <w:pPr>
        <w:ind w:left="720"/>
        <w:rPr>
          <w:bCs/>
          <w:color w:val="FF0000"/>
        </w:rPr>
      </w:pPr>
    </w:p>
    <w:p w:rsidR="00A576C3" w:rsidRPr="00FD328E" w:rsidRDefault="00A576C3" w:rsidP="00A576C3">
      <w:pPr>
        <w:ind w:left="720"/>
        <w:rPr>
          <w:bCs/>
          <w:color w:val="FF0000"/>
        </w:rPr>
      </w:pPr>
      <w:r>
        <w:rPr>
          <w:bCs/>
          <w:color w:val="FF0000"/>
        </w:rPr>
        <w:t>MEH 24.3</w:t>
      </w:r>
    </w:p>
    <w:p w:rsidR="00A576C3" w:rsidRPr="00045085" w:rsidRDefault="00A576C3" w:rsidP="00A576C3">
      <w:pPr>
        <w:pStyle w:val="NormalWeb"/>
        <w:ind w:left="720"/>
        <w:rPr>
          <w:rFonts w:ascii="Times New Roman" w:eastAsia="Times New Roman" w:hAnsi="Times New Roman" w:cs="Times New Roman"/>
          <w:bCs/>
          <w:i/>
          <w:iCs/>
        </w:rPr>
      </w:pPr>
      <w:r>
        <w:rPr>
          <w:rFonts w:ascii="Times New Roman" w:eastAsia="Times New Roman" w:hAnsi="Times New Roman" w:cs="Times New Roman"/>
          <w:b/>
          <w:bCs/>
          <w:i/>
          <w:iCs/>
        </w:rPr>
        <w:t xml:space="preserve"> </w:t>
      </w:r>
      <w:r w:rsidRPr="00045085">
        <w:rPr>
          <w:rFonts w:ascii="Times New Roman" w:eastAsia="Times New Roman" w:hAnsi="Times New Roman" w:cs="Times New Roman"/>
          <w:bCs/>
          <w:i/>
          <w:iCs/>
          <w:color w:val="FF0000"/>
        </w:rPr>
        <w:t>The applicant can choose to begin the Medicaid deductible period as early as three months prior to the month of application, and as late as the month after the month of application.</w:t>
      </w:r>
    </w:p>
    <w:p w:rsidR="00A576C3" w:rsidRDefault="00A576C3" w:rsidP="00A576C3"/>
    <w:p w:rsidR="00A576C3" w:rsidRDefault="00A576C3" w:rsidP="00A576C3"/>
    <w:p w:rsidR="00A576C3" w:rsidRDefault="00A576C3" w:rsidP="00A576C3">
      <w:pPr>
        <w:rPr>
          <w:b/>
          <w:bCs/>
        </w:rPr>
      </w:pPr>
      <w:r>
        <w:t xml:space="preserve">17. </w:t>
      </w:r>
      <w:r w:rsidRPr="00612D2C">
        <w:t>Spouses who live together are in each other’s fiscal group.</w:t>
      </w:r>
      <w:r>
        <w:t xml:space="preserve"> However, there are exceptions to this. Please list two exceptions.  </w:t>
      </w:r>
    </w:p>
    <w:p w:rsidR="00A576C3" w:rsidRDefault="00A576C3" w:rsidP="00A576C3">
      <w:pPr>
        <w:rPr>
          <w:b/>
          <w:bCs/>
        </w:rPr>
      </w:pPr>
    </w:p>
    <w:p w:rsidR="00A576C3" w:rsidRPr="00612D2C" w:rsidRDefault="00A576C3" w:rsidP="00A576C3">
      <w:pPr>
        <w:ind w:left="720"/>
        <w:rPr>
          <w:bCs/>
          <w:color w:val="FF0000"/>
        </w:rPr>
      </w:pPr>
      <w:r w:rsidRPr="00612D2C">
        <w:rPr>
          <w:bCs/>
          <w:color w:val="FF0000"/>
        </w:rPr>
        <w:t>MEH 1.1.3.2</w:t>
      </w:r>
    </w:p>
    <w:p w:rsidR="00A576C3" w:rsidRPr="00612D2C" w:rsidRDefault="00A576C3" w:rsidP="00A576C3">
      <w:pPr>
        <w:ind w:left="720"/>
        <w:rPr>
          <w:bCs/>
          <w:color w:val="FF0000"/>
        </w:rPr>
      </w:pPr>
      <w:r w:rsidRPr="00612D2C">
        <w:rPr>
          <w:bCs/>
          <w:color w:val="FF0000"/>
        </w:rPr>
        <w:t>One spouse on SSI (non-SSI spouse a FTG of 1).</w:t>
      </w:r>
    </w:p>
    <w:p w:rsidR="00A576C3" w:rsidRPr="00612D2C" w:rsidRDefault="00A576C3" w:rsidP="00A576C3">
      <w:pPr>
        <w:ind w:left="720"/>
        <w:rPr>
          <w:bCs/>
          <w:color w:val="FF0000"/>
        </w:rPr>
      </w:pPr>
      <w:r w:rsidRPr="00612D2C">
        <w:rPr>
          <w:bCs/>
          <w:color w:val="FF0000"/>
        </w:rPr>
        <w:t>Long Term Care Medicaid</w:t>
      </w:r>
    </w:p>
    <w:p w:rsidR="00A576C3" w:rsidRDefault="00A576C3" w:rsidP="00A576C3">
      <w:pPr>
        <w:pStyle w:val="NormalWeb"/>
        <w:rPr>
          <w:rFonts w:ascii="Times New Roman" w:eastAsia="Times New Roman" w:hAnsi="Times New Roman" w:cs="Times New Roman"/>
        </w:rPr>
      </w:pPr>
    </w:p>
    <w:p w:rsidR="00A576C3" w:rsidRDefault="00A576C3" w:rsidP="00A576C3">
      <w:pPr>
        <w:rPr>
          <w:b/>
          <w:bCs/>
        </w:rPr>
      </w:pPr>
      <w:r>
        <w:t xml:space="preserve">18. List all mandatory verification items for MA. </w:t>
      </w:r>
    </w:p>
    <w:p w:rsidR="00A576C3" w:rsidRDefault="00A576C3" w:rsidP="00A576C3">
      <w:pPr>
        <w:rPr>
          <w:b/>
          <w:bCs/>
        </w:rPr>
      </w:pPr>
    </w:p>
    <w:p w:rsidR="00A576C3" w:rsidRPr="00612D2C" w:rsidRDefault="00A576C3" w:rsidP="00A576C3">
      <w:pPr>
        <w:ind w:firstLine="720"/>
        <w:rPr>
          <w:bCs/>
          <w:color w:val="FF0000"/>
        </w:rPr>
      </w:pPr>
      <w:r w:rsidRPr="00612D2C">
        <w:rPr>
          <w:bCs/>
          <w:color w:val="FF0000"/>
        </w:rPr>
        <w:t>MEH 20.3.1</w:t>
      </w:r>
    </w:p>
    <w:p w:rsidR="00A576C3" w:rsidRPr="00612D2C" w:rsidRDefault="00A576C3" w:rsidP="00A576C3">
      <w:pPr>
        <w:rPr>
          <w:bCs/>
          <w:color w:val="FF0000"/>
        </w:rPr>
      </w:pPr>
    </w:p>
    <w:p w:rsidR="00A576C3" w:rsidRPr="00612D2C" w:rsidRDefault="00A576C3" w:rsidP="00A576C3">
      <w:pPr>
        <w:pStyle w:val="ListParagraph"/>
        <w:numPr>
          <w:ilvl w:val="0"/>
          <w:numId w:val="7"/>
        </w:numPr>
        <w:rPr>
          <w:bCs/>
          <w:color w:val="FF0000"/>
        </w:rPr>
      </w:pPr>
      <w:r w:rsidRPr="00612D2C">
        <w:rPr>
          <w:bCs/>
          <w:color w:val="FF0000"/>
        </w:rPr>
        <w:t>SSN (see Section 20.3.2 Social Security Number).</w:t>
      </w:r>
    </w:p>
    <w:p w:rsidR="00A576C3" w:rsidRPr="00612D2C" w:rsidRDefault="00A576C3" w:rsidP="00A576C3">
      <w:pPr>
        <w:pStyle w:val="ListParagraph"/>
        <w:numPr>
          <w:ilvl w:val="0"/>
          <w:numId w:val="7"/>
        </w:numPr>
        <w:rPr>
          <w:bCs/>
          <w:color w:val="FF0000"/>
        </w:rPr>
      </w:pPr>
      <w:r w:rsidRPr="00612D2C">
        <w:rPr>
          <w:bCs/>
          <w:color w:val="FF0000"/>
        </w:rPr>
        <w:t>Alien Status (see Section 7.3 Immigrants).</w:t>
      </w:r>
    </w:p>
    <w:p w:rsidR="00A576C3" w:rsidRPr="00612D2C" w:rsidRDefault="00A576C3" w:rsidP="00A576C3">
      <w:pPr>
        <w:pStyle w:val="ListParagraph"/>
        <w:numPr>
          <w:ilvl w:val="0"/>
          <w:numId w:val="7"/>
        </w:numPr>
        <w:rPr>
          <w:bCs/>
          <w:color w:val="FF0000"/>
        </w:rPr>
      </w:pPr>
      <w:r w:rsidRPr="00612D2C">
        <w:rPr>
          <w:bCs/>
          <w:color w:val="FF0000"/>
        </w:rPr>
        <w:t>Disability and Incapacitation (see Section 5.2 Determination of Disability).</w:t>
      </w:r>
    </w:p>
    <w:p w:rsidR="00A576C3" w:rsidRPr="00612D2C" w:rsidRDefault="00A576C3" w:rsidP="00A576C3">
      <w:pPr>
        <w:rPr>
          <w:bCs/>
          <w:color w:val="FF0000"/>
        </w:rPr>
      </w:pPr>
    </w:p>
    <w:p w:rsidR="00A576C3" w:rsidRPr="00612D2C" w:rsidRDefault="00A576C3" w:rsidP="00A576C3">
      <w:pPr>
        <w:pStyle w:val="ListParagraph"/>
        <w:numPr>
          <w:ilvl w:val="0"/>
          <w:numId w:val="7"/>
        </w:numPr>
        <w:rPr>
          <w:bCs/>
          <w:color w:val="FF0000"/>
        </w:rPr>
      </w:pPr>
      <w:r w:rsidRPr="00612D2C">
        <w:rPr>
          <w:bCs/>
          <w:color w:val="FF0000"/>
        </w:rPr>
        <w:t>Assets for the Elderly, Blind, and Disabled (see Section 16.1 Assets Introduction).</w:t>
      </w:r>
    </w:p>
    <w:p w:rsidR="00A576C3" w:rsidRPr="00612D2C" w:rsidRDefault="00A576C3" w:rsidP="00A576C3">
      <w:pPr>
        <w:pStyle w:val="ListParagraph"/>
        <w:numPr>
          <w:ilvl w:val="0"/>
          <w:numId w:val="7"/>
        </w:numPr>
        <w:rPr>
          <w:bCs/>
          <w:color w:val="FF0000"/>
        </w:rPr>
      </w:pPr>
      <w:r w:rsidRPr="00612D2C">
        <w:rPr>
          <w:bCs/>
          <w:color w:val="FF0000"/>
        </w:rPr>
        <w:t>Divestment, for EBD long-term care (see Section 17.1 Divestment Introduction).</w:t>
      </w:r>
    </w:p>
    <w:p w:rsidR="00A576C3" w:rsidRPr="00612D2C" w:rsidRDefault="00A576C3" w:rsidP="00A576C3">
      <w:pPr>
        <w:pStyle w:val="ListParagraph"/>
        <w:numPr>
          <w:ilvl w:val="0"/>
          <w:numId w:val="7"/>
        </w:numPr>
        <w:rPr>
          <w:bCs/>
          <w:color w:val="FF0000"/>
        </w:rPr>
      </w:pPr>
      <w:r w:rsidRPr="00612D2C">
        <w:rPr>
          <w:bCs/>
          <w:color w:val="FF0000"/>
        </w:rPr>
        <w:t>Medical expenses, for deductibles only (see Section 24.7 Meeting the Deductible).</w:t>
      </w:r>
    </w:p>
    <w:p w:rsidR="00A576C3" w:rsidRPr="00612D2C" w:rsidRDefault="00A576C3" w:rsidP="00A576C3">
      <w:pPr>
        <w:pStyle w:val="ListParagraph"/>
        <w:numPr>
          <w:ilvl w:val="0"/>
          <w:numId w:val="7"/>
        </w:numPr>
        <w:rPr>
          <w:bCs/>
          <w:color w:val="FF0000"/>
        </w:rPr>
      </w:pPr>
      <w:r w:rsidRPr="00612D2C">
        <w:rPr>
          <w:bCs/>
          <w:color w:val="FF0000"/>
        </w:rPr>
        <w:t>Medical/remedial expenses for non</w:t>
      </w:r>
      <w:r>
        <w:rPr>
          <w:bCs/>
          <w:color w:val="FF0000"/>
        </w:rPr>
        <w:t>-</w:t>
      </w:r>
      <w:r w:rsidRPr="00612D2C">
        <w:rPr>
          <w:bCs/>
          <w:color w:val="FF0000"/>
        </w:rPr>
        <w:t>covered services for an institutionalized person (see Section 27.7.7.2 Disallowed Expenses).</w:t>
      </w:r>
    </w:p>
    <w:p w:rsidR="00A576C3" w:rsidRPr="00612D2C" w:rsidRDefault="00A576C3" w:rsidP="00A576C3">
      <w:pPr>
        <w:pStyle w:val="ListParagraph"/>
        <w:numPr>
          <w:ilvl w:val="0"/>
          <w:numId w:val="7"/>
        </w:numPr>
        <w:rPr>
          <w:bCs/>
          <w:color w:val="FF0000"/>
        </w:rPr>
      </w:pPr>
      <w:r w:rsidRPr="00612D2C">
        <w:rPr>
          <w:bCs/>
          <w:color w:val="FF0000"/>
        </w:rPr>
        <w:t>Documentation for Power of Attorney and Guardianship (see Section 20.3.7 Power of Attorney and Guardianship).</w:t>
      </w:r>
    </w:p>
    <w:p w:rsidR="00A576C3" w:rsidRPr="00612D2C" w:rsidRDefault="00A576C3" w:rsidP="00A576C3">
      <w:pPr>
        <w:pStyle w:val="ListParagraph"/>
        <w:numPr>
          <w:ilvl w:val="0"/>
          <w:numId w:val="7"/>
        </w:numPr>
        <w:rPr>
          <w:bCs/>
          <w:color w:val="FF0000"/>
        </w:rPr>
      </w:pPr>
      <w:r w:rsidRPr="00612D2C">
        <w:rPr>
          <w:bCs/>
          <w:color w:val="FF0000"/>
        </w:rPr>
        <w:t>Migrant workers eligibility in another state (see Section 31.2 Simplified Application), if applicable.</w:t>
      </w:r>
    </w:p>
    <w:p w:rsidR="00A576C3" w:rsidRPr="00612D2C" w:rsidRDefault="00A576C3" w:rsidP="00A576C3">
      <w:pPr>
        <w:pStyle w:val="ListParagraph"/>
        <w:numPr>
          <w:ilvl w:val="0"/>
          <w:numId w:val="7"/>
        </w:numPr>
        <w:rPr>
          <w:bCs/>
          <w:color w:val="FF0000"/>
        </w:rPr>
      </w:pPr>
      <w:r w:rsidRPr="00612D2C">
        <w:rPr>
          <w:bCs/>
          <w:color w:val="FF0000"/>
        </w:rPr>
        <w:t>Physician certification (verbally or in writing) that the person is likely to return to the home or apartment within six months for institutionalized persons maintaining a home or property (see Section 15.7.1 Maintaining Home or Apartment) and is entitled to a home maintenance allowance.</w:t>
      </w:r>
    </w:p>
    <w:p w:rsidR="00A576C3" w:rsidRPr="00612D2C" w:rsidRDefault="00A576C3" w:rsidP="00A576C3">
      <w:pPr>
        <w:pStyle w:val="ListParagraph"/>
        <w:numPr>
          <w:ilvl w:val="0"/>
          <w:numId w:val="7"/>
        </w:numPr>
        <w:rPr>
          <w:bCs/>
          <w:color w:val="FF0000"/>
        </w:rPr>
      </w:pPr>
      <w:r w:rsidRPr="00612D2C">
        <w:rPr>
          <w:bCs/>
          <w:color w:val="FF0000"/>
        </w:rPr>
        <w:t>Income.</w:t>
      </w:r>
    </w:p>
    <w:p w:rsidR="00A576C3" w:rsidRPr="00612D2C" w:rsidRDefault="00A576C3" w:rsidP="00A576C3">
      <w:pPr>
        <w:pStyle w:val="ListParagraph"/>
        <w:numPr>
          <w:ilvl w:val="0"/>
          <w:numId w:val="7"/>
        </w:numPr>
        <w:rPr>
          <w:bCs/>
          <w:color w:val="FF0000"/>
        </w:rPr>
      </w:pPr>
      <w:r w:rsidRPr="00612D2C">
        <w:rPr>
          <w:bCs/>
          <w:color w:val="FF0000"/>
        </w:rPr>
        <w:t>Citizenship and Identity (see Section 7.2 Documenting Citizenship and Identity).</w:t>
      </w:r>
    </w:p>
    <w:p w:rsidR="00A576C3" w:rsidRDefault="00A576C3" w:rsidP="00A576C3">
      <w:pPr>
        <w:pStyle w:val="NormalWeb"/>
        <w:tabs>
          <w:tab w:val="left" w:pos="720"/>
        </w:tabs>
        <w:rPr>
          <w:rFonts w:ascii="Times New Roman" w:hAnsi="Times New Roman" w:cs="Times New Roman"/>
        </w:rPr>
      </w:pPr>
    </w:p>
    <w:p w:rsidR="00A576C3" w:rsidRDefault="00A576C3" w:rsidP="00A576C3">
      <w:pPr>
        <w:pStyle w:val="NormalWeb"/>
        <w:tabs>
          <w:tab w:val="left" w:pos="720"/>
        </w:tabs>
        <w:rPr>
          <w:rFonts w:ascii="Times New Roman" w:hAnsi="Times New Roman" w:cs="Times New Roman"/>
        </w:rPr>
      </w:pPr>
      <w:r>
        <w:rPr>
          <w:rFonts w:ascii="Times New Roman" w:hAnsi="Times New Roman" w:cs="Times New Roman"/>
        </w:rPr>
        <w:t xml:space="preserve">19.  List all allowable </w:t>
      </w:r>
      <w:r w:rsidRPr="0050720F">
        <w:rPr>
          <w:rFonts w:ascii="Times New Roman" w:hAnsi="Times New Roman" w:cs="Times New Roman"/>
        </w:rPr>
        <w:t>income disreg</w:t>
      </w:r>
      <w:r>
        <w:rPr>
          <w:rFonts w:ascii="Times New Roman" w:hAnsi="Times New Roman" w:cs="Times New Roman"/>
        </w:rPr>
        <w:t xml:space="preserve">ards and expenses for SSI-Related Medicaid. </w:t>
      </w:r>
    </w:p>
    <w:p w:rsidR="00A576C3" w:rsidRDefault="00A576C3" w:rsidP="00A576C3">
      <w:pPr>
        <w:pStyle w:val="NormalWeb"/>
        <w:tabs>
          <w:tab w:val="left" w:pos="720"/>
        </w:tabs>
        <w:rPr>
          <w:rFonts w:ascii="Times New Roman" w:hAnsi="Times New Roman" w:cs="Times New Roman"/>
        </w:rPr>
      </w:pPr>
    </w:p>
    <w:p w:rsidR="00A576C3" w:rsidRPr="0050720F" w:rsidRDefault="00A576C3" w:rsidP="00A576C3">
      <w:pPr>
        <w:pStyle w:val="NormalWeb"/>
        <w:tabs>
          <w:tab w:val="left" w:pos="720"/>
        </w:tabs>
        <w:ind w:left="360"/>
        <w:rPr>
          <w:rFonts w:ascii="Times New Roman" w:hAnsi="Times New Roman" w:cs="Times New Roman"/>
          <w:color w:val="FF0000"/>
        </w:rPr>
      </w:pPr>
      <w:r w:rsidRPr="0050720F">
        <w:rPr>
          <w:rFonts w:ascii="Times New Roman" w:hAnsi="Times New Roman" w:cs="Times New Roman"/>
          <w:color w:val="FF0000"/>
        </w:rPr>
        <w:t>MEH 24.1</w:t>
      </w:r>
    </w:p>
    <w:p w:rsidR="00A576C3" w:rsidRPr="00711454" w:rsidRDefault="00A576C3" w:rsidP="00A576C3">
      <w:pPr>
        <w:pStyle w:val="NormalWeb"/>
        <w:numPr>
          <w:ilvl w:val="0"/>
          <w:numId w:val="10"/>
        </w:numPr>
        <w:tabs>
          <w:tab w:val="left" w:pos="720"/>
        </w:tabs>
        <w:ind w:left="1080"/>
        <w:rPr>
          <w:rFonts w:ascii="Times New Roman" w:hAnsi="Times New Roman" w:cs="Times New Roman"/>
          <w:color w:val="FF0000"/>
        </w:rPr>
      </w:pPr>
      <w:r w:rsidRPr="00711454">
        <w:rPr>
          <w:rFonts w:ascii="Times New Roman" w:hAnsi="Times New Roman" w:cs="Times New Roman"/>
          <w:color w:val="FF0000"/>
        </w:rPr>
        <w:t>Excess Self Employment Expenses</w:t>
      </w:r>
    </w:p>
    <w:p w:rsidR="00A576C3" w:rsidRPr="00711454" w:rsidRDefault="00A576C3" w:rsidP="00A576C3">
      <w:pPr>
        <w:pStyle w:val="NormalWeb"/>
        <w:numPr>
          <w:ilvl w:val="0"/>
          <w:numId w:val="10"/>
        </w:numPr>
        <w:tabs>
          <w:tab w:val="left" w:pos="720"/>
        </w:tabs>
        <w:ind w:left="1080"/>
        <w:rPr>
          <w:rFonts w:ascii="Times New Roman" w:hAnsi="Times New Roman" w:cs="Times New Roman"/>
          <w:color w:val="FF0000"/>
        </w:rPr>
      </w:pPr>
      <w:r w:rsidRPr="00711454">
        <w:rPr>
          <w:rFonts w:ascii="Times New Roman" w:hAnsi="Times New Roman" w:cs="Times New Roman"/>
          <w:color w:val="FF0000"/>
        </w:rPr>
        <w:t>The 65 &amp; ½ earned income disregard</w:t>
      </w:r>
    </w:p>
    <w:p w:rsidR="00A576C3" w:rsidRPr="00711454" w:rsidRDefault="00A576C3" w:rsidP="00A576C3">
      <w:pPr>
        <w:pStyle w:val="NormalWeb"/>
        <w:numPr>
          <w:ilvl w:val="0"/>
          <w:numId w:val="10"/>
        </w:numPr>
        <w:tabs>
          <w:tab w:val="left" w:pos="720"/>
        </w:tabs>
        <w:ind w:left="1080"/>
        <w:rPr>
          <w:rFonts w:ascii="Times New Roman" w:hAnsi="Times New Roman" w:cs="Times New Roman"/>
          <w:color w:val="FF0000"/>
        </w:rPr>
      </w:pPr>
      <w:r w:rsidRPr="00711454">
        <w:rPr>
          <w:rFonts w:ascii="Times New Roman" w:hAnsi="Times New Roman" w:cs="Times New Roman"/>
          <w:color w:val="FF0000"/>
        </w:rPr>
        <w:t>Child support and maintenance</w:t>
      </w:r>
    </w:p>
    <w:p w:rsidR="00A576C3" w:rsidRPr="00711454" w:rsidRDefault="00A576C3" w:rsidP="00A576C3">
      <w:pPr>
        <w:pStyle w:val="NormalWeb"/>
        <w:numPr>
          <w:ilvl w:val="0"/>
          <w:numId w:val="10"/>
        </w:numPr>
        <w:tabs>
          <w:tab w:val="left" w:pos="720"/>
        </w:tabs>
        <w:ind w:left="1080"/>
        <w:rPr>
          <w:rFonts w:ascii="Times New Roman" w:hAnsi="Times New Roman" w:cs="Times New Roman"/>
          <w:color w:val="FF0000"/>
        </w:rPr>
      </w:pPr>
      <w:r w:rsidRPr="00711454">
        <w:rPr>
          <w:rFonts w:ascii="Times New Roman" w:hAnsi="Times New Roman" w:cs="Times New Roman"/>
          <w:color w:val="FF0000"/>
        </w:rPr>
        <w:t>$20.00 SSI general income disregard</w:t>
      </w:r>
    </w:p>
    <w:p w:rsidR="00A576C3" w:rsidRPr="00711454" w:rsidRDefault="00A576C3" w:rsidP="00A576C3">
      <w:pPr>
        <w:pStyle w:val="NormalWeb"/>
        <w:numPr>
          <w:ilvl w:val="0"/>
          <w:numId w:val="10"/>
        </w:numPr>
        <w:tabs>
          <w:tab w:val="left" w:pos="720"/>
        </w:tabs>
        <w:ind w:left="1080"/>
        <w:rPr>
          <w:rFonts w:ascii="Times New Roman" w:hAnsi="Times New Roman" w:cs="Times New Roman"/>
          <w:color w:val="FF0000"/>
        </w:rPr>
      </w:pPr>
      <w:r w:rsidRPr="00711454">
        <w:rPr>
          <w:rFonts w:ascii="Times New Roman" w:hAnsi="Times New Roman" w:cs="Times New Roman"/>
          <w:color w:val="FF0000"/>
        </w:rPr>
        <w:t>Impairment related work expenses (IRWE)</w:t>
      </w:r>
    </w:p>
    <w:p w:rsidR="00A576C3" w:rsidRPr="0050720F" w:rsidRDefault="00A576C3" w:rsidP="00A576C3">
      <w:pPr>
        <w:pStyle w:val="NormalWeb"/>
        <w:tabs>
          <w:tab w:val="left" w:pos="720"/>
        </w:tabs>
        <w:rPr>
          <w:rFonts w:ascii="Times New Roman" w:hAnsi="Times New Roman" w:cs="Times New Roman"/>
        </w:rPr>
      </w:pPr>
    </w:p>
    <w:p w:rsidR="00A576C3" w:rsidRDefault="00A576C3" w:rsidP="00A576C3">
      <w:pPr>
        <w:pStyle w:val="NormalWeb"/>
        <w:tabs>
          <w:tab w:val="left" w:pos="720"/>
        </w:tabs>
        <w:rPr>
          <w:rFonts w:ascii="Times New Roman" w:hAnsi="Times New Roman" w:cs="Times New Roman"/>
        </w:rPr>
      </w:pPr>
      <w:r w:rsidRPr="0050720F">
        <w:rPr>
          <w:rFonts w:ascii="Times New Roman" w:hAnsi="Times New Roman" w:cs="Times New Roman"/>
        </w:rPr>
        <w:t>2</w:t>
      </w:r>
      <w:r>
        <w:rPr>
          <w:rFonts w:ascii="Times New Roman" w:hAnsi="Times New Roman" w:cs="Times New Roman"/>
        </w:rPr>
        <w:t xml:space="preserve">0.  </w:t>
      </w:r>
      <w:r w:rsidRPr="0050720F">
        <w:rPr>
          <w:rFonts w:ascii="Times New Roman" w:hAnsi="Times New Roman" w:cs="Times New Roman"/>
        </w:rPr>
        <w:t>What benefit</w:t>
      </w:r>
      <w:r>
        <w:rPr>
          <w:rFonts w:ascii="Times New Roman" w:hAnsi="Times New Roman" w:cs="Times New Roman"/>
        </w:rPr>
        <w:t>(s)</w:t>
      </w:r>
      <w:r w:rsidRPr="0050720F">
        <w:rPr>
          <w:rFonts w:ascii="Times New Roman" w:hAnsi="Times New Roman" w:cs="Times New Roman"/>
        </w:rPr>
        <w:t xml:space="preserve"> does Q</w:t>
      </w:r>
      <w:r>
        <w:rPr>
          <w:rFonts w:ascii="Times New Roman" w:hAnsi="Times New Roman" w:cs="Times New Roman"/>
        </w:rPr>
        <w:t xml:space="preserve">MB include that SLMB does not? </w:t>
      </w:r>
    </w:p>
    <w:p w:rsidR="00A576C3" w:rsidRDefault="00A576C3" w:rsidP="00A576C3">
      <w:pPr>
        <w:pStyle w:val="NormalWeb"/>
        <w:tabs>
          <w:tab w:val="left" w:pos="720"/>
        </w:tabs>
        <w:rPr>
          <w:rFonts w:ascii="Times New Roman" w:hAnsi="Times New Roman" w:cs="Times New Roman"/>
        </w:rPr>
      </w:pPr>
    </w:p>
    <w:p w:rsidR="00A576C3" w:rsidRPr="0050720F" w:rsidRDefault="00A576C3" w:rsidP="00A576C3">
      <w:pPr>
        <w:pStyle w:val="NormalWeb"/>
        <w:tabs>
          <w:tab w:val="left" w:pos="720"/>
        </w:tabs>
        <w:ind w:left="360"/>
        <w:rPr>
          <w:rFonts w:ascii="Times New Roman" w:hAnsi="Times New Roman" w:cs="Times New Roman"/>
          <w:color w:val="FF0000"/>
        </w:rPr>
      </w:pPr>
      <w:r w:rsidRPr="0050720F">
        <w:rPr>
          <w:rFonts w:ascii="Times New Roman" w:hAnsi="Times New Roman" w:cs="Times New Roman"/>
          <w:color w:val="FF0000"/>
        </w:rPr>
        <w:t>MEH 32.1.3</w:t>
      </w:r>
    </w:p>
    <w:p w:rsidR="00A576C3" w:rsidRDefault="00A576C3" w:rsidP="00A576C3">
      <w:pPr>
        <w:pStyle w:val="NormalWeb"/>
        <w:numPr>
          <w:ilvl w:val="0"/>
          <w:numId w:val="8"/>
        </w:numPr>
        <w:tabs>
          <w:tab w:val="left" w:pos="720"/>
        </w:tabs>
        <w:ind w:left="1440"/>
        <w:rPr>
          <w:rFonts w:ascii="Times New Roman" w:hAnsi="Times New Roman" w:cs="Times New Roman"/>
          <w:color w:val="FF0000"/>
        </w:rPr>
      </w:pPr>
      <w:r w:rsidRPr="0050720F">
        <w:rPr>
          <w:rFonts w:ascii="Times New Roman" w:hAnsi="Times New Roman" w:cs="Times New Roman"/>
          <w:color w:val="FF0000"/>
        </w:rPr>
        <w:t>QMB: Medicaid pays Medicare Part A and B premiums and Medicare deductibles, copayments, and coinsurance.</w:t>
      </w:r>
    </w:p>
    <w:p w:rsidR="00A576C3" w:rsidRDefault="00A576C3" w:rsidP="00A576C3">
      <w:pPr>
        <w:pStyle w:val="NormalWeb"/>
        <w:numPr>
          <w:ilvl w:val="0"/>
          <w:numId w:val="8"/>
        </w:numPr>
        <w:tabs>
          <w:tab w:val="left" w:pos="720"/>
        </w:tabs>
        <w:ind w:left="1440"/>
        <w:rPr>
          <w:rFonts w:ascii="Times New Roman" w:hAnsi="Times New Roman" w:cs="Times New Roman"/>
          <w:color w:val="FF0000"/>
        </w:rPr>
      </w:pPr>
      <w:r w:rsidRPr="0050720F">
        <w:rPr>
          <w:rFonts w:ascii="Times New Roman" w:hAnsi="Times New Roman" w:cs="Times New Roman"/>
          <w:color w:val="FF0000"/>
        </w:rPr>
        <w:t>SLMB: Medicaid pays Medicare Part B premiums.</w:t>
      </w:r>
    </w:p>
    <w:p w:rsidR="00A576C3" w:rsidRPr="0050720F" w:rsidRDefault="00A576C3" w:rsidP="00A576C3">
      <w:pPr>
        <w:pStyle w:val="NormalWeb"/>
        <w:tabs>
          <w:tab w:val="left" w:pos="720"/>
        </w:tabs>
        <w:rPr>
          <w:rFonts w:ascii="Times New Roman" w:hAnsi="Times New Roman" w:cs="Times New Roman"/>
          <w:color w:val="FF0000"/>
        </w:rPr>
      </w:pPr>
    </w:p>
    <w:p w:rsidR="00A576C3" w:rsidRDefault="00A576C3" w:rsidP="00A576C3">
      <w:pPr>
        <w:pStyle w:val="NormalWeb"/>
        <w:tabs>
          <w:tab w:val="left" w:pos="720"/>
        </w:tabs>
        <w:rPr>
          <w:rFonts w:ascii="Times New Roman" w:hAnsi="Times New Roman" w:cs="Times New Roman"/>
        </w:rPr>
      </w:pPr>
      <w:r>
        <w:rPr>
          <w:rFonts w:ascii="Times New Roman" w:hAnsi="Times New Roman" w:cs="Times New Roman"/>
        </w:rPr>
        <w:t xml:space="preserve">21.  </w:t>
      </w:r>
      <w:r w:rsidRPr="0050720F">
        <w:rPr>
          <w:rFonts w:ascii="Times New Roman" w:hAnsi="Times New Roman" w:cs="Times New Roman"/>
        </w:rPr>
        <w:t>List the four (4) S</w:t>
      </w:r>
      <w:r>
        <w:rPr>
          <w:rFonts w:ascii="Times New Roman" w:hAnsi="Times New Roman" w:cs="Times New Roman"/>
        </w:rPr>
        <w:t xml:space="preserve">pecial Status Medicaid groups. </w:t>
      </w:r>
    </w:p>
    <w:p w:rsidR="00A576C3" w:rsidRDefault="00A576C3" w:rsidP="00A576C3">
      <w:pPr>
        <w:pStyle w:val="NormalWeb"/>
        <w:tabs>
          <w:tab w:val="left" w:pos="720"/>
        </w:tabs>
        <w:rPr>
          <w:rFonts w:ascii="Times New Roman" w:hAnsi="Times New Roman" w:cs="Times New Roman"/>
        </w:rPr>
      </w:pPr>
    </w:p>
    <w:p w:rsidR="00A576C3" w:rsidRPr="0050720F" w:rsidRDefault="00A576C3" w:rsidP="00A576C3">
      <w:pPr>
        <w:pStyle w:val="NormalWeb"/>
        <w:tabs>
          <w:tab w:val="left" w:pos="720"/>
        </w:tabs>
        <w:ind w:left="360"/>
        <w:rPr>
          <w:rFonts w:ascii="Times New Roman" w:hAnsi="Times New Roman" w:cs="Times New Roman"/>
          <w:color w:val="FF0000"/>
        </w:rPr>
      </w:pPr>
      <w:r w:rsidRPr="0050720F">
        <w:rPr>
          <w:rFonts w:ascii="Times New Roman" w:hAnsi="Times New Roman" w:cs="Times New Roman"/>
          <w:color w:val="FF0000"/>
        </w:rPr>
        <w:t>MEH 25.0</w:t>
      </w:r>
    </w:p>
    <w:p w:rsidR="00A576C3" w:rsidRPr="0050720F" w:rsidRDefault="00A576C3" w:rsidP="00A576C3">
      <w:pPr>
        <w:pStyle w:val="NormalWeb"/>
        <w:numPr>
          <w:ilvl w:val="0"/>
          <w:numId w:val="8"/>
        </w:numPr>
        <w:tabs>
          <w:tab w:val="left" w:pos="720"/>
        </w:tabs>
        <w:ind w:left="1440"/>
        <w:rPr>
          <w:rFonts w:ascii="Times New Roman" w:hAnsi="Times New Roman" w:cs="Times New Roman"/>
          <w:color w:val="FF0000"/>
        </w:rPr>
      </w:pPr>
      <w:r w:rsidRPr="0050720F">
        <w:rPr>
          <w:rFonts w:ascii="Times New Roman" w:hAnsi="Times New Roman" w:cs="Times New Roman"/>
          <w:color w:val="FF0000"/>
        </w:rPr>
        <w:t>503 cases (see Section 25.1 "503" Eligibility)</w:t>
      </w:r>
    </w:p>
    <w:p w:rsidR="00A576C3" w:rsidRPr="0050720F" w:rsidRDefault="00A576C3" w:rsidP="00A576C3">
      <w:pPr>
        <w:pStyle w:val="NormalWeb"/>
        <w:numPr>
          <w:ilvl w:val="0"/>
          <w:numId w:val="8"/>
        </w:numPr>
        <w:tabs>
          <w:tab w:val="left" w:pos="720"/>
        </w:tabs>
        <w:ind w:left="1440"/>
        <w:rPr>
          <w:rFonts w:ascii="Times New Roman" w:hAnsi="Times New Roman" w:cs="Times New Roman"/>
          <w:color w:val="FF0000"/>
        </w:rPr>
      </w:pPr>
      <w:r w:rsidRPr="0050720F">
        <w:rPr>
          <w:rFonts w:ascii="Times New Roman" w:hAnsi="Times New Roman" w:cs="Times New Roman"/>
          <w:color w:val="FF0000"/>
        </w:rPr>
        <w:t>DAC (see Section 25.2 Disabled Adult Child)</w:t>
      </w:r>
    </w:p>
    <w:p w:rsidR="00A576C3" w:rsidRPr="0050720F" w:rsidRDefault="00A576C3" w:rsidP="00A576C3">
      <w:pPr>
        <w:pStyle w:val="NormalWeb"/>
        <w:numPr>
          <w:ilvl w:val="0"/>
          <w:numId w:val="8"/>
        </w:numPr>
        <w:tabs>
          <w:tab w:val="left" w:pos="720"/>
        </w:tabs>
        <w:ind w:left="1440"/>
        <w:rPr>
          <w:rFonts w:ascii="Times New Roman" w:hAnsi="Times New Roman" w:cs="Times New Roman"/>
          <w:color w:val="FF0000"/>
        </w:rPr>
      </w:pPr>
      <w:r w:rsidRPr="0050720F">
        <w:rPr>
          <w:rFonts w:ascii="Times New Roman" w:hAnsi="Times New Roman" w:cs="Times New Roman"/>
          <w:color w:val="FF0000"/>
        </w:rPr>
        <w:t>Widows and widowers (see Section 25.3 Widows and Widowers)</w:t>
      </w:r>
    </w:p>
    <w:p w:rsidR="00A576C3" w:rsidRPr="0050720F" w:rsidRDefault="00A576C3" w:rsidP="00A576C3">
      <w:pPr>
        <w:pStyle w:val="NormalWeb"/>
        <w:numPr>
          <w:ilvl w:val="0"/>
          <w:numId w:val="8"/>
        </w:numPr>
        <w:tabs>
          <w:tab w:val="left" w:pos="720"/>
        </w:tabs>
        <w:ind w:left="1440"/>
        <w:rPr>
          <w:rFonts w:ascii="Times New Roman" w:hAnsi="Times New Roman" w:cs="Times New Roman"/>
          <w:color w:val="FF0000"/>
        </w:rPr>
      </w:pPr>
      <w:r w:rsidRPr="0050720F">
        <w:rPr>
          <w:rFonts w:ascii="Times New Roman" w:hAnsi="Times New Roman" w:cs="Times New Roman"/>
          <w:color w:val="FF0000"/>
        </w:rPr>
        <w:t>1619 cases (see Section 25.5 1619 Cases)</w:t>
      </w:r>
    </w:p>
    <w:p w:rsidR="00A576C3" w:rsidRPr="0050720F" w:rsidRDefault="00A576C3" w:rsidP="00A576C3">
      <w:pPr>
        <w:pStyle w:val="NormalWeb"/>
        <w:tabs>
          <w:tab w:val="left" w:pos="720"/>
        </w:tabs>
        <w:rPr>
          <w:rFonts w:ascii="Times New Roman" w:hAnsi="Times New Roman" w:cs="Times New Roman"/>
        </w:rPr>
      </w:pPr>
    </w:p>
    <w:p w:rsidR="00A576C3" w:rsidRPr="0050720F" w:rsidRDefault="00A576C3" w:rsidP="00A576C3">
      <w:pPr>
        <w:pStyle w:val="NormalWeb"/>
        <w:tabs>
          <w:tab w:val="left" w:pos="720"/>
        </w:tabs>
        <w:rPr>
          <w:rFonts w:ascii="Times New Roman" w:hAnsi="Times New Roman" w:cs="Times New Roman"/>
        </w:rPr>
      </w:pPr>
      <w:r>
        <w:rPr>
          <w:rFonts w:ascii="Times New Roman" w:hAnsi="Times New Roman" w:cs="Times New Roman"/>
        </w:rPr>
        <w:t xml:space="preserve">22.  </w:t>
      </w:r>
      <w:r w:rsidRPr="0050720F">
        <w:rPr>
          <w:rFonts w:ascii="Times New Roman" w:hAnsi="Times New Roman" w:cs="Times New Roman"/>
        </w:rPr>
        <w:t>Explain in your own words why it is important to understand the Special Status Medicaid groups (no handbook citation needed).</w:t>
      </w:r>
    </w:p>
    <w:p w:rsidR="00A576C3" w:rsidRDefault="00A576C3" w:rsidP="00A576C3">
      <w:pPr>
        <w:pStyle w:val="NormalWeb"/>
        <w:tabs>
          <w:tab w:val="left" w:pos="720"/>
        </w:tabs>
        <w:rPr>
          <w:rFonts w:ascii="Times New Roman" w:hAnsi="Times New Roman" w:cs="Times New Roman"/>
        </w:rPr>
      </w:pPr>
    </w:p>
    <w:p w:rsidR="00A576C3" w:rsidRDefault="00A576C3" w:rsidP="00A576C3">
      <w:pPr>
        <w:pStyle w:val="NormalWeb"/>
        <w:tabs>
          <w:tab w:val="left" w:pos="720"/>
        </w:tabs>
        <w:ind w:left="720"/>
        <w:rPr>
          <w:rFonts w:ascii="Times New Roman" w:hAnsi="Times New Roman" w:cs="Times New Roman"/>
          <w:color w:val="FF0000"/>
        </w:rPr>
      </w:pPr>
      <w:r w:rsidRPr="0050720F">
        <w:rPr>
          <w:rFonts w:ascii="Times New Roman" w:hAnsi="Times New Roman" w:cs="Times New Roman"/>
          <w:color w:val="FF0000"/>
        </w:rPr>
        <w:t>Answers will vary – essentially looking for the worker to show understanding that someone in one of these groups has income disregards that other EBD applicants do not.</w:t>
      </w:r>
    </w:p>
    <w:p w:rsidR="00A576C3" w:rsidRPr="0050720F" w:rsidRDefault="00A576C3" w:rsidP="00A576C3">
      <w:pPr>
        <w:pStyle w:val="NormalWeb"/>
        <w:tabs>
          <w:tab w:val="left" w:pos="720"/>
        </w:tabs>
        <w:rPr>
          <w:rFonts w:ascii="Times New Roman" w:hAnsi="Times New Roman" w:cs="Times New Roman"/>
          <w:color w:val="FF0000"/>
        </w:rPr>
      </w:pPr>
    </w:p>
    <w:p w:rsidR="00A576C3" w:rsidRDefault="00A576C3" w:rsidP="00A576C3">
      <w:pPr>
        <w:pStyle w:val="NormalWeb"/>
        <w:tabs>
          <w:tab w:val="left" w:pos="720"/>
        </w:tabs>
        <w:rPr>
          <w:rFonts w:ascii="Times New Roman" w:hAnsi="Times New Roman" w:cs="Times New Roman"/>
        </w:rPr>
      </w:pPr>
      <w:r>
        <w:rPr>
          <w:rFonts w:ascii="Times New Roman" w:hAnsi="Times New Roman" w:cs="Times New Roman"/>
        </w:rPr>
        <w:t xml:space="preserve">23. </w:t>
      </w:r>
      <w:r w:rsidRPr="0050720F">
        <w:rPr>
          <w:rFonts w:ascii="Times New Roman" w:hAnsi="Times New Roman" w:cs="Times New Roman"/>
        </w:rPr>
        <w:t>What are the four (4) non-financial eligibility requ</w:t>
      </w:r>
      <w:r>
        <w:rPr>
          <w:rFonts w:ascii="Times New Roman" w:hAnsi="Times New Roman" w:cs="Times New Roman"/>
        </w:rPr>
        <w:t xml:space="preserve">irements for the MAPP program? </w:t>
      </w:r>
    </w:p>
    <w:p w:rsidR="00A576C3" w:rsidRDefault="00A576C3" w:rsidP="00A576C3">
      <w:pPr>
        <w:pStyle w:val="NormalWeb"/>
        <w:tabs>
          <w:tab w:val="left" w:pos="720"/>
        </w:tabs>
        <w:rPr>
          <w:rFonts w:ascii="Times New Roman" w:hAnsi="Times New Roman" w:cs="Times New Roman"/>
        </w:rPr>
      </w:pPr>
    </w:p>
    <w:p w:rsidR="00A576C3" w:rsidRPr="0050720F" w:rsidRDefault="00A576C3" w:rsidP="00A576C3">
      <w:pPr>
        <w:pStyle w:val="NormalWeb"/>
        <w:tabs>
          <w:tab w:val="left" w:pos="720"/>
        </w:tabs>
        <w:rPr>
          <w:rFonts w:ascii="Times New Roman" w:hAnsi="Times New Roman" w:cs="Times New Roman"/>
          <w:color w:val="FF0000"/>
        </w:rPr>
      </w:pPr>
      <w:r>
        <w:rPr>
          <w:rFonts w:ascii="Times New Roman" w:hAnsi="Times New Roman" w:cs="Times New Roman"/>
          <w:color w:val="FF0000"/>
        </w:rPr>
        <w:tab/>
      </w:r>
      <w:r w:rsidRPr="0050720F">
        <w:rPr>
          <w:rFonts w:ascii="Times New Roman" w:hAnsi="Times New Roman" w:cs="Times New Roman"/>
          <w:color w:val="FF0000"/>
        </w:rPr>
        <w:t>MEH 26.3.1</w:t>
      </w:r>
    </w:p>
    <w:p w:rsidR="00A576C3" w:rsidRPr="0050720F" w:rsidRDefault="00A576C3" w:rsidP="00A576C3">
      <w:pPr>
        <w:pStyle w:val="NormalWeb"/>
        <w:numPr>
          <w:ilvl w:val="0"/>
          <w:numId w:val="9"/>
        </w:numPr>
        <w:tabs>
          <w:tab w:val="left" w:pos="720"/>
        </w:tabs>
        <w:rPr>
          <w:rFonts w:ascii="Times New Roman" w:hAnsi="Times New Roman" w:cs="Times New Roman"/>
          <w:color w:val="FF0000"/>
        </w:rPr>
      </w:pPr>
      <w:r w:rsidRPr="0050720F">
        <w:rPr>
          <w:rFonts w:ascii="Times New Roman" w:hAnsi="Times New Roman" w:cs="Times New Roman"/>
          <w:color w:val="FF0000"/>
        </w:rPr>
        <w:lastRenderedPageBreak/>
        <w:t>Meet general Medicaid nonfinancial requirements</w:t>
      </w:r>
    </w:p>
    <w:p w:rsidR="00A576C3" w:rsidRPr="0050720F" w:rsidRDefault="00A576C3" w:rsidP="00A576C3">
      <w:pPr>
        <w:pStyle w:val="NormalWeb"/>
        <w:numPr>
          <w:ilvl w:val="0"/>
          <w:numId w:val="9"/>
        </w:numPr>
        <w:tabs>
          <w:tab w:val="left" w:pos="720"/>
        </w:tabs>
        <w:rPr>
          <w:rFonts w:ascii="Times New Roman" w:hAnsi="Times New Roman" w:cs="Times New Roman"/>
          <w:color w:val="FF0000"/>
        </w:rPr>
      </w:pPr>
      <w:r w:rsidRPr="0050720F">
        <w:rPr>
          <w:rFonts w:ascii="Times New Roman" w:hAnsi="Times New Roman" w:cs="Times New Roman"/>
          <w:color w:val="FF0000"/>
        </w:rPr>
        <w:t>Be at least 18 years old (there is no maximum age limit).</w:t>
      </w:r>
    </w:p>
    <w:p w:rsidR="00A576C3" w:rsidRPr="0050720F" w:rsidRDefault="00A576C3" w:rsidP="00A576C3">
      <w:pPr>
        <w:pStyle w:val="NormalWeb"/>
        <w:numPr>
          <w:ilvl w:val="0"/>
          <w:numId w:val="9"/>
        </w:numPr>
        <w:tabs>
          <w:tab w:val="left" w:pos="720"/>
        </w:tabs>
        <w:rPr>
          <w:rFonts w:ascii="Times New Roman" w:hAnsi="Times New Roman" w:cs="Times New Roman"/>
          <w:color w:val="FF0000"/>
        </w:rPr>
      </w:pPr>
      <w:r w:rsidRPr="0050720F">
        <w:rPr>
          <w:rFonts w:ascii="Times New Roman" w:hAnsi="Times New Roman" w:cs="Times New Roman"/>
          <w:color w:val="FF0000"/>
        </w:rPr>
        <w:t xml:space="preserve">Be determined disabled, presumptively disabled, or MAPP-disabled by the DDB, regardless of age </w:t>
      </w:r>
    </w:p>
    <w:p w:rsidR="00A576C3" w:rsidRPr="0050720F" w:rsidRDefault="00A576C3" w:rsidP="00A576C3">
      <w:pPr>
        <w:pStyle w:val="NormalWeb"/>
        <w:numPr>
          <w:ilvl w:val="0"/>
          <w:numId w:val="9"/>
        </w:numPr>
        <w:tabs>
          <w:tab w:val="left" w:pos="720"/>
        </w:tabs>
        <w:rPr>
          <w:rFonts w:ascii="Times New Roman" w:hAnsi="Times New Roman" w:cs="Times New Roman"/>
          <w:color w:val="FF0000"/>
        </w:rPr>
      </w:pPr>
      <w:r w:rsidRPr="0050720F">
        <w:rPr>
          <w:rFonts w:ascii="Times New Roman" w:hAnsi="Times New Roman" w:cs="Times New Roman"/>
          <w:color w:val="FF0000"/>
        </w:rPr>
        <w:t xml:space="preserve">Be working in a paid position or participating in an HEC program </w:t>
      </w:r>
    </w:p>
    <w:p w:rsidR="00A576C3" w:rsidRDefault="00A576C3" w:rsidP="00A576C3">
      <w:pPr>
        <w:pStyle w:val="NormalWeb"/>
        <w:tabs>
          <w:tab w:val="left" w:pos="720"/>
        </w:tabs>
        <w:rPr>
          <w:rFonts w:ascii="Times New Roman" w:hAnsi="Times New Roman" w:cs="Times New Roman"/>
          <w:highlight w:val="yellow"/>
        </w:rPr>
      </w:pPr>
    </w:p>
    <w:p w:rsidR="00A576C3" w:rsidRDefault="00A576C3" w:rsidP="00A576C3">
      <w:pPr>
        <w:pStyle w:val="NormalWeb"/>
        <w:tabs>
          <w:tab w:val="left" w:pos="720"/>
        </w:tabs>
        <w:rPr>
          <w:rFonts w:ascii="Times New Roman" w:hAnsi="Times New Roman" w:cs="Times New Roman"/>
          <w:highlight w:val="yellow"/>
        </w:rPr>
      </w:pPr>
    </w:p>
    <w:p w:rsidR="00A576C3" w:rsidRPr="008E26D1" w:rsidRDefault="00A576C3" w:rsidP="00A576C3">
      <w:pPr>
        <w:pStyle w:val="NormalWeb"/>
        <w:tabs>
          <w:tab w:val="left" w:pos="720"/>
        </w:tabs>
        <w:rPr>
          <w:rFonts w:ascii="Times New Roman" w:hAnsi="Times New Roman" w:cs="Times New Roman"/>
        </w:rPr>
      </w:pPr>
      <w:r>
        <w:rPr>
          <w:rFonts w:ascii="Times New Roman" w:hAnsi="Times New Roman" w:cs="Times New Roman"/>
        </w:rPr>
        <w:t>24</w:t>
      </w:r>
      <w:r w:rsidRPr="008E26D1">
        <w:rPr>
          <w:rFonts w:ascii="Times New Roman" w:hAnsi="Times New Roman" w:cs="Times New Roman"/>
        </w:rPr>
        <w:t xml:space="preserve">.  </w:t>
      </w:r>
      <w:r>
        <w:rPr>
          <w:rFonts w:ascii="Times New Roman" w:hAnsi="Times New Roman" w:cs="Times New Roman"/>
        </w:rPr>
        <w:t>Jane</w:t>
      </w:r>
      <w:r w:rsidRPr="008E26D1">
        <w:rPr>
          <w:rFonts w:ascii="Times New Roman" w:hAnsi="Times New Roman" w:cs="Times New Roman"/>
        </w:rPr>
        <w:t xml:space="preserve"> applied for EBD Medicaid on March 1, 2021.</w:t>
      </w:r>
      <w:r>
        <w:rPr>
          <w:rFonts w:ascii="Times New Roman" w:hAnsi="Times New Roman" w:cs="Times New Roman"/>
        </w:rPr>
        <w:t xml:space="preserve">  She was found eligible for </w:t>
      </w:r>
      <w:r w:rsidRPr="008E26D1">
        <w:rPr>
          <w:rFonts w:ascii="Times New Roman" w:hAnsi="Times New Roman" w:cs="Times New Roman"/>
        </w:rPr>
        <w:t>Medicaid Deductible</w:t>
      </w:r>
      <w:r>
        <w:rPr>
          <w:rFonts w:ascii="Times New Roman" w:hAnsi="Times New Roman" w:cs="Times New Roman"/>
        </w:rPr>
        <w:t xml:space="preserve"> and will start the deductible the month of her application</w:t>
      </w:r>
      <w:r w:rsidRPr="008E26D1">
        <w:rPr>
          <w:rFonts w:ascii="Times New Roman" w:hAnsi="Times New Roman" w:cs="Times New Roman"/>
        </w:rPr>
        <w:t>.  After allowable deductions, her net income is $2,223.22</w:t>
      </w:r>
      <w:r>
        <w:rPr>
          <w:rFonts w:ascii="Times New Roman" w:hAnsi="Times New Roman" w:cs="Times New Roman"/>
        </w:rPr>
        <w:t>/month</w:t>
      </w:r>
      <w:r w:rsidRPr="008E26D1">
        <w:rPr>
          <w:rFonts w:ascii="Times New Roman" w:hAnsi="Times New Roman" w:cs="Times New Roman"/>
        </w:rPr>
        <w:t xml:space="preserve">. The </w:t>
      </w:r>
      <w:r>
        <w:rPr>
          <w:rFonts w:ascii="Times New Roman" w:hAnsi="Times New Roman" w:cs="Times New Roman"/>
        </w:rPr>
        <w:t xml:space="preserve">monthly </w:t>
      </w:r>
      <w:r w:rsidRPr="008E26D1">
        <w:rPr>
          <w:rFonts w:ascii="Times New Roman" w:hAnsi="Times New Roman" w:cs="Times New Roman"/>
        </w:rPr>
        <w:t>income limit at the time she applied for SSI-related MA (Medically Needy) was</w:t>
      </w:r>
      <w:r w:rsidRPr="008E26D1">
        <w:t xml:space="preserve"> </w:t>
      </w:r>
      <w:r>
        <w:t>$</w:t>
      </w:r>
      <w:r w:rsidRPr="008E26D1">
        <w:rPr>
          <w:rFonts w:ascii="Times New Roman" w:hAnsi="Times New Roman" w:cs="Times New Roman"/>
        </w:rPr>
        <w:t>1,451.67</w:t>
      </w:r>
      <w:r>
        <w:rPr>
          <w:rFonts w:ascii="Times New Roman" w:hAnsi="Times New Roman" w:cs="Times New Roman"/>
        </w:rPr>
        <w:t>/month.  How much will her deductible be?</w:t>
      </w:r>
    </w:p>
    <w:p w:rsidR="00A576C3" w:rsidRDefault="00A576C3" w:rsidP="00A576C3">
      <w:pPr>
        <w:pStyle w:val="NormalWeb"/>
        <w:tabs>
          <w:tab w:val="left" w:pos="720"/>
        </w:tabs>
        <w:ind w:left="780"/>
        <w:rPr>
          <w:rFonts w:ascii="Times New Roman" w:hAnsi="Times New Roman" w:cs="Times New Roman"/>
          <w:b/>
          <w:i/>
        </w:rPr>
      </w:pPr>
    </w:p>
    <w:p w:rsidR="00A576C3" w:rsidRPr="00592940" w:rsidRDefault="00A576C3" w:rsidP="00A576C3">
      <w:pPr>
        <w:pStyle w:val="NormalWeb"/>
        <w:tabs>
          <w:tab w:val="left" w:pos="720"/>
        </w:tabs>
        <w:ind w:left="780"/>
        <w:rPr>
          <w:rFonts w:ascii="Times New Roman" w:hAnsi="Times New Roman" w:cs="Times New Roman"/>
          <w:color w:val="FF0000"/>
        </w:rPr>
      </w:pPr>
      <w:r>
        <w:rPr>
          <w:rFonts w:ascii="Times New Roman" w:hAnsi="Times New Roman" w:cs="Times New Roman"/>
          <w:color w:val="FF0000"/>
        </w:rPr>
        <w:t>MEH 24.5.1</w:t>
      </w:r>
    </w:p>
    <w:p w:rsidR="00A576C3" w:rsidRPr="004573E4" w:rsidRDefault="00A576C3" w:rsidP="00A576C3">
      <w:pPr>
        <w:pStyle w:val="NormalWeb"/>
        <w:tabs>
          <w:tab w:val="left" w:pos="720"/>
        </w:tabs>
        <w:ind w:left="780"/>
        <w:rPr>
          <w:rFonts w:ascii="Times New Roman" w:hAnsi="Times New Roman" w:cs="Times New Roman"/>
          <w:color w:val="FF0000"/>
        </w:rPr>
      </w:pPr>
      <w:r w:rsidRPr="008E26D1">
        <w:rPr>
          <w:rFonts w:ascii="Times New Roman" w:hAnsi="Times New Roman" w:cs="Times New Roman"/>
          <w:color w:val="FF0000"/>
        </w:rPr>
        <w:t>($2223.22 - $1451.67)*6 = $4,629.30</w:t>
      </w:r>
    </w:p>
    <w:p w:rsidR="00A576C3" w:rsidRDefault="00A576C3" w:rsidP="00A576C3">
      <w:pPr>
        <w:pStyle w:val="NormalWeb"/>
      </w:pPr>
    </w:p>
    <w:p w:rsidR="00A576C3" w:rsidRDefault="00A576C3" w:rsidP="00A576C3">
      <w:pPr>
        <w:pStyle w:val="NormalWeb"/>
        <w:rPr>
          <w:rFonts w:ascii="Times New Roman" w:hAnsi="Times New Roman" w:cs="Times New Roman"/>
          <w:b/>
          <w:bCs/>
        </w:rPr>
      </w:pPr>
      <w:r>
        <w:rPr>
          <w:rFonts w:ascii="Times New Roman" w:hAnsi="Times New Roman" w:cs="Times New Roman"/>
        </w:rPr>
        <w:t>25. Jane’s deductible period runs from June 1</w:t>
      </w:r>
      <w:r w:rsidRPr="00C83F1C">
        <w:rPr>
          <w:rFonts w:ascii="Times New Roman" w:hAnsi="Times New Roman" w:cs="Times New Roman"/>
          <w:vertAlign w:val="superscript"/>
        </w:rPr>
        <w:t>st</w:t>
      </w:r>
      <w:r>
        <w:rPr>
          <w:rFonts w:ascii="Times New Roman" w:hAnsi="Times New Roman" w:cs="Times New Roman"/>
        </w:rPr>
        <w:t xml:space="preserve"> through November 30</w:t>
      </w:r>
      <w:r>
        <w:rPr>
          <w:rFonts w:ascii="Times New Roman" w:hAnsi="Times New Roman" w:cs="Times New Roman"/>
          <w:vertAlign w:val="superscript"/>
        </w:rPr>
        <w:t>th</w:t>
      </w:r>
      <w:r>
        <w:rPr>
          <w:rFonts w:ascii="Times New Roman" w:hAnsi="Times New Roman" w:cs="Times New Roman"/>
        </w:rPr>
        <w:t>.   She pays the entire deductible amount on October 15</w:t>
      </w:r>
      <w:r>
        <w:rPr>
          <w:rFonts w:ascii="Times New Roman" w:hAnsi="Times New Roman" w:cs="Times New Roman"/>
          <w:vertAlign w:val="superscript"/>
        </w:rPr>
        <w:t>th</w:t>
      </w:r>
      <w:r>
        <w:rPr>
          <w:rFonts w:ascii="Times New Roman" w:hAnsi="Times New Roman" w:cs="Times New Roman"/>
        </w:rPr>
        <w:t xml:space="preserve">.   When does her MA eligibility begin? </w:t>
      </w:r>
    </w:p>
    <w:p w:rsidR="00A576C3" w:rsidRDefault="00A576C3" w:rsidP="00A576C3">
      <w:pPr>
        <w:pStyle w:val="NormalWeb"/>
        <w:rPr>
          <w:rFonts w:ascii="Times New Roman" w:hAnsi="Times New Roman" w:cs="Times New Roman"/>
          <w:b/>
          <w:bCs/>
          <w:i/>
          <w:iCs/>
        </w:rPr>
      </w:pPr>
    </w:p>
    <w:p w:rsidR="00A576C3" w:rsidRPr="00C83F1C" w:rsidRDefault="00A576C3" w:rsidP="00A576C3">
      <w:pPr>
        <w:pStyle w:val="NormalWeb"/>
        <w:rPr>
          <w:rFonts w:ascii="Times New Roman" w:hAnsi="Times New Roman" w:cs="Times New Roman"/>
          <w:bCs/>
          <w:iCs/>
          <w:color w:val="FF0000"/>
        </w:rPr>
      </w:pPr>
      <w:r>
        <w:rPr>
          <w:rFonts w:ascii="Times New Roman" w:hAnsi="Times New Roman" w:cs="Times New Roman"/>
          <w:b/>
          <w:bCs/>
          <w:i/>
          <w:iCs/>
        </w:rPr>
        <w:tab/>
      </w:r>
      <w:r>
        <w:rPr>
          <w:rFonts w:ascii="Times New Roman" w:hAnsi="Times New Roman" w:cs="Times New Roman"/>
          <w:bCs/>
          <w:iCs/>
          <w:color w:val="FF0000"/>
        </w:rPr>
        <w:t xml:space="preserve">MEH </w:t>
      </w:r>
      <w:r w:rsidRPr="00C83F1C">
        <w:rPr>
          <w:rFonts w:ascii="Times New Roman" w:hAnsi="Times New Roman" w:cs="Times New Roman"/>
          <w:bCs/>
          <w:iCs/>
          <w:color w:val="FF0000"/>
        </w:rPr>
        <w:t>24.7.3.1</w:t>
      </w:r>
    </w:p>
    <w:p w:rsidR="00A576C3" w:rsidRPr="00C83F1C" w:rsidRDefault="00A576C3" w:rsidP="00A576C3">
      <w:pPr>
        <w:pStyle w:val="NormalWeb"/>
        <w:rPr>
          <w:rFonts w:ascii="Times New Roman" w:hAnsi="Times New Roman" w:cs="Times New Roman"/>
          <w:bCs/>
          <w:iCs/>
          <w:color w:val="FF0000"/>
        </w:rPr>
      </w:pPr>
      <w:r w:rsidRPr="00C83F1C">
        <w:rPr>
          <w:rFonts w:ascii="Times New Roman" w:hAnsi="Times New Roman" w:cs="Times New Roman"/>
          <w:bCs/>
          <w:iCs/>
          <w:color w:val="FF0000"/>
        </w:rPr>
        <w:tab/>
        <w:t>MA eligibility starts as of June 1.</w:t>
      </w:r>
    </w:p>
    <w:p w:rsidR="00A576C3" w:rsidRDefault="00A576C3" w:rsidP="00A576C3">
      <w:pPr>
        <w:pStyle w:val="NormalWeb"/>
        <w:rPr>
          <w:rFonts w:ascii="Times New Roman" w:hAnsi="Times New Roman" w:cs="Times New Roman"/>
          <w:b/>
          <w:bCs/>
          <w:i/>
          <w:iCs/>
        </w:rPr>
      </w:pPr>
    </w:p>
    <w:p w:rsidR="00A576C3" w:rsidRPr="00656940" w:rsidRDefault="00A576C3" w:rsidP="00A576C3">
      <w:pPr>
        <w:pStyle w:val="NormalWeb"/>
        <w:rPr>
          <w:rFonts w:ascii="Times New Roman" w:hAnsi="Times New Roman" w:cs="Times New Roman"/>
        </w:rPr>
      </w:pPr>
      <w:r>
        <w:rPr>
          <w:rFonts w:ascii="Times New Roman" w:hAnsi="Times New Roman" w:cs="Times New Roman"/>
        </w:rPr>
        <w:t>26</w:t>
      </w:r>
      <w:r w:rsidRPr="00656940">
        <w:rPr>
          <w:rFonts w:ascii="Times New Roman" w:hAnsi="Times New Roman" w:cs="Times New Roman"/>
        </w:rPr>
        <w:t>. Sarah’s deductible period is July 1</w:t>
      </w:r>
      <w:r w:rsidRPr="00656940">
        <w:rPr>
          <w:rFonts w:ascii="Times New Roman" w:hAnsi="Times New Roman" w:cs="Times New Roman"/>
          <w:vertAlign w:val="superscript"/>
        </w:rPr>
        <w:t>st</w:t>
      </w:r>
      <w:r w:rsidRPr="00656940">
        <w:rPr>
          <w:rFonts w:ascii="Times New Roman" w:hAnsi="Times New Roman" w:cs="Times New Roman"/>
        </w:rPr>
        <w:t xml:space="preserve"> through December 31</w:t>
      </w:r>
      <w:r w:rsidRPr="00656940">
        <w:rPr>
          <w:rFonts w:ascii="Times New Roman" w:hAnsi="Times New Roman" w:cs="Times New Roman"/>
          <w:vertAlign w:val="superscript"/>
        </w:rPr>
        <w:t>st</w:t>
      </w:r>
      <w:r w:rsidRPr="00656940">
        <w:rPr>
          <w:rFonts w:ascii="Times New Roman" w:hAnsi="Times New Roman" w:cs="Times New Roman"/>
        </w:rPr>
        <w:t>.  Emma sent in medical expenses dated July 1</w:t>
      </w:r>
      <w:r w:rsidRPr="00656940">
        <w:rPr>
          <w:rFonts w:ascii="Times New Roman" w:hAnsi="Times New Roman" w:cs="Times New Roman"/>
          <w:vertAlign w:val="superscript"/>
        </w:rPr>
        <w:t>st</w:t>
      </w:r>
      <w:r w:rsidRPr="00656940">
        <w:rPr>
          <w:rFonts w:ascii="Times New Roman" w:hAnsi="Times New Roman" w:cs="Times New Roman"/>
        </w:rPr>
        <w:t>, July 25</w:t>
      </w:r>
      <w:r w:rsidRPr="00656940">
        <w:rPr>
          <w:rFonts w:ascii="Times New Roman" w:hAnsi="Times New Roman" w:cs="Times New Roman"/>
          <w:vertAlign w:val="superscript"/>
        </w:rPr>
        <w:t>th</w:t>
      </w:r>
      <w:r w:rsidRPr="00656940">
        <w:rPr>
          <w:rFonts w:ascii="Times New Roman" w:hAnsi="Times New Roman" w:cs="Times New Roman"/>
        </w:rPr>
        <w:t>, and August 5</w:t>
      </w:r>
      <w:r w:rsidRPr="00656940">
        <w:rPr>
          <w:rFonts w:ascii="Times New Roman" w:hAnsi="Times New Roman" w:cs="Times New Roman"/>
          <w:vertAlign w:val="superscript"/>
        </w:rPr>
        <w:t>th</w:t>
      </w:r>
      <w:r w:rsidRPr="00656940">
        <w:rPr>
          <w:rFonts w:ascii="Times New Roman" w:hAnsi="Times New Roman" w:cs="Times New Roman"/>
        </w:rPr>
        <w:t xml:space="preserve">.  These bills reduced, but did not meet, her deductible. On </w:t>
      </w:r>
      <w:r>
        <w:rPr>
          <w:rFonts w:ascii="Times New Roman" w:hAnsi="Times New Roman" w:cs="Times New Roman"/>
        </w:rPr>
        <w:t>September</w:t>
      </w:r>
      <w:r w:rsidRPr="00656940">
        <w:rPr>
          <w:rFonts w:ascii="Times New Roman" w:hAnsi="Times New Roman" w:cs="Times New Roman"/>
        </w:rPr>
        <w:t xml:space="preserve"> 20</w:t>
      </w:r>
      <w:r w:rsidRPr="00656940">
        <w:rPr>
          <w:rFonts w:ascii="Times New Roman" w:hAnsi="Times New Roman" w:cs="Times New Roman"/>
          <w:vertAlign w:val="superscript"/>
        </w:rPr>
        <w:t>th</w:t>
      </w:r>
      <w:r w:rsidRPr="00656940">
        <w:rPr>
          <w:rFonts w:ascii="Times New Roman" w:hAnsi="Times New Roman" w:cs="Times New Roman"/>
        </w:rPr>
        <w:t xml:space="preserve">, </w:t>
      </w:r>
      <w:r>
        <w:rPr>
          <w:rFonts w:ascii="Times New Roman" w:hAnsi="Times New Roman" w:cs="Times New Roman"/>
        </w:rPr>
        <w:t>she</w:t>
      </w:r>
      <w:r w:rsidRPr="00656940">
        <w:rPr>
          <w:rFonts w:ascii="Times New Roman" w:hAnsi="Times New Roman" w:cs="Times New Roman"/>
        </w:rPr>
        <w:t xml:space="preserve"> pre-paid the remaining balance of her deductible.  When will </w:t>
      </w:r>
      <w:r>
        <w:rPr>
          <w:rFonts w:ascii="Times New Roman" w:hAnsi="Times New Roman" w:cs="Times New Roman"/>
        </w:rPr>
        <w:t>her</w:t>
      </w:r>
      <w:r w:rsidRPr="00656940">
        <w:rPr>
          <w:rFonts w:ascii="Times New Roman" w:hAnsi="Times New Roman" w:cs="Times New Roman"/>
        </w:rPr>
        <w:t xml:space="preserve"> Medicaid eligibility begin? </w:t>
      </w:r>
    </w:p>
    <w:p w:rsidR="00A576C3" w:rsidRPr="00656940" w:rsidRDefault="00A576C3" w:rsidP="00A576C3">
      <w:pPr>
        <w:pStyle w:val="NormalWeb"/>
        <w:rPr>
          <w:rFonts w:ascii="Times New Roman" w:hAnsi="Times New Roman" w:cs="Times New Roman"/>
        </w:rPr>
      </w:pPr>
    </w:p>
    <w:p w:rsidR="00A576C3" w:rsidRPr="00656940" w:rsidRDefault="00A576C3" w:rsidP="00A576C3">
      <w:pPr>
        <w:pStyle w:val="NormalWeb"/>
        <w:ind w:firstLine="720"/>
        <w:rPr>
          <w:rFonts w:ascii="Times New Roman" w:hAnsi="Times New Roman" w:cs="Times New Roman"/>
          <w:iCs/>
          <w:color w:val="FF0000"/>
        </w:rPr>
      </w:pPr>
      <w:r w:rsidRPr="00656940">
        <w:rPr>
          <w:rFonts w:ascii="Times New Roman" w:hAnsi="Times New Roman" w:cs="Times New Roman"/>
          <w:iCs/>
          <w:color w:val="FF0000"/>
        </w:rPr>
        <w:t>MEH 24.7.3.2</w:t>
      </w:r>
    </w:p>
    <w:p w:rsidR="00A576C3" w:rsidRPr="00656940" w:rsidRDefault="00A576C3" w:rsidP="00A576C3">
      <w:pPr>
        <w:pStyle w:val="NormalWeb"/>
        <w:ind w:firstLine="720"/>
        <w:rPr>
          <w:rFonts w:ascii="Times New Roman" w:hAnsi="Times New Roman" w:cs="Times New Roman"/>
          <w:iCs/>
          <w:color w:val="FF0000"/>
        </w:rPr>
      </w:pPr>
      <w:r w:rsidRPr="00656940">
        <w:rPr>
          <w:rFonts w:ascii="Times New Roman" w:hAnsi="Times New Roman" w:cs="Times New Roman"/>
          <w:iCs/>
          <w:color w:val="FF0000"/>
        </w:rPr>
        <w:t>August 5</w:t>
      </w:r>
      <w:r w:rsidRPr="00656940">
        <w:rPr>
          <w:rFonts w:ascii="Times New Roman" w:hAnsi="Times New Roman" w:cs="Times New Roman"/>
          <w:iCs/>
          <w:color w:val="FF0000"/>
          <w:vertAlign w:val="superscript"/>
        </w:rPr>
        <w:t>th</w:t>
      </w:r>
      <w:r w:rsidRPr="00656940">
        <w:rPr>
          <w:rFonts w:ascii="Times New Roman" w:hAnsi="Times New Roman" w:cs="Times New Roman"/>
          <w:iCs/>
          <w:color w:val="FF0000"/>
        </w:rPr>
        <w:t xml:space="preserve"> (the date of the last bill submitted)</w:t>
      </w:r>
    </w:p>
    <w:p w:rsidR="00A576C3" w:rsidRDefault="00A576C3" w:rsidP="00A576C3">
      <w:pPr>
        <w:pStyle w:val="NormalWeb"/>
        <w:rPr>
          <w:b/>
          <w:bCs/>
          <w:i/>
          <w:iCs/>
        </w:rPr>
      </w:pPr>
    </w:p>
    <w:p w:rsidR="00A576C3" w:rsidRDefault="00A576C3" w:rsidP="00A576C3">
      <w:pPr>
        <w:pStyle w:val="NormalWeb"/>
        <w:rPr>
          <w:rFonts w:ascii="Times New Roman" w:hAnsi="Times New Roman" w:cs="Times New Roman"/>
        </w:rPr>
      </w:pPr>
      <w:r w:rsidRPr="00711454">
        <w:rPr>
          <w:rFonts w:ascii="Times New Roman" w:hAnsi="Times New Roman" w:cs="Times New Roman"/>
        </w:rPr>
        <w:t xml:space="preserve">27. </w:t>
      </w:r>
      <w:r>
        <w:rPr>
          <w:rFonts w:ascii="Times New Roman" w:hAnsi="Times New Roman" w:cs="Times New Roman"/>
        </w:rPr>
        <w:t>Life insurance policies will at times have two values. What are those two values that help us determine if a life insurance policy is counted or not counted?  Explain why $1,500 is an important number when reviewing a life insurance policy.</w:t>
      </w:r>
    </w:p>
    <w:p w:rsidR="00A576C3" w:rsidRDefault="00A576C3" w:rsidP="00A576C3">
      <w:pPr>
        <w:pStyle w:val="NormalWeb"/>
        <w:rPr>
          <w:rFonts w:ascii="Times New Roman" w:hAnsi="Times New Roman" w:cs="Times New Roman"/>
        </w:rPr>
      </w:pPr>
    </w:p>
    <w:p w:rsidR="00A576C3" w:rsidRDefault="00A576C3" w:rsidP="00A576C3">
      <w:pPr>
        <w:pStyle w:val="NormalWeb"/>
        <w:rPr>
          <w:rFonts w:ascii="Times New Roman" w:hAnsi="Times New Roman" w:cs="Times New Roman"/>
          <w:color w:val="FF0000"/>
        </w:rPr>
      </w:pPr>
      <w:r>
        <w:rPr>
          <w:rFonts w:ascii="Times New Roman" w:hAnsi="Times New Roman" w:cs="Times New Roman"/>
        </w:rPr>
        <w:tab/>
      </w:r>
      <w:r>
        <w:rPr>
          <w:rFonts w:ascii="Times New Roman" w:hAnsi="Times New Roman" w:cs="Times New Roman"/>
          <w:color w:val="FF0000"/>
        </w:rPr>
        <w:t>MEH 16.7.5</w:t>
      </w:r>
    </w:p>
    <w:p w:rsidR="00A576C3" w:rsidRPr="00DF6307" w:rsidRDefault="00A576C3" w:rsidP="00A576C3">
      <w:pPr>
        <w:pStyle w:val="NormalWeb"/>
        <w:ind w:left="720"/>
        <w:rPr>
          <w:rFonts w:ascii="Times New Roman" w:hAnsi="Times New Roman" w:cs="Times New Roman"/>
          <w:color w:val="FF0000"/>
        </w:rPr>
      </w:pPr>
      <w:r>
        <w:rPr>
          <w:rFonts w:ascii="Times New Roman" w:hAnsi="Times New Roman" w:cs="Times New Roman"/>
          <w:color w:val="FF0000"/>
        </w:rPr>
        <w:t>Face Value and Cash Surrender Value.  If face value is more than $1,500 for combined policies, then we count Cash Surrender Value as the available asset.</w:t>
      </w:r>
    </w:p>
    <w:p w:rsidR="00A576C3" w:rsidRDefault="00A576C3" w:rsidP="00A576C3">
      <w:pPr>
        <w:pStyle w:val="BodyText"/>
        <w:rPr>
          <w:b w:val="0"/>
          <w:bCs w:val="0"/>
          <w:i w:val="0"/>
          <w:iCs w:val="0"/>
        </w:rPr>
      </w:pPr>
    </w:p>
    <w:p w:rsidR="00A576C3" w:rsidRDefault="00A576C3" w:rsidP="00A576C3">
      <w:pPr>
        <w:pStyle w:val="BodyText"/>
        <w:ind w:left="360"/>
        <w:rPr>
          <w:b w:val="0"/>
          <w:bCs w:val="0"/>
          <w:i w:val="0"/>
          <w:iCs w:val="0"/>
        </w:rPr>
      </w:pPr>
    </w:p>
    <w:p w:rsidR="00A576C3" w:rsidRDefault="00A576C3" w:rsidP="00A576C3">
      <w:pPr>
        <w:pStyle w:val="BodyText"/>
        <w:rPr>
          <w:b w:val="0"/>
          <w:i w:val="0"/>
        </w:rPr>
      </w:pPr>
      <w:r>
        <w:rPr>
          <w:b w:val="0"/>
          <w:bCs w:val="0"/>
          <w:i w:val="0"/>
          <w:iCs w:val="0"/>
        </w:rPr>
        <w:t xml:space="preserve">28. </w:t>
      </w:r>
      <w:r w:rsidRPr="008E28C3">
        <w:rPr>
          <w:b w:val="0"/>
          <w:i w:val="0"/>
        </w:rPr>
        <w:t>Sam’s deductible period begins July 1</w:t>
      </w:r>
      <w:r w:rsidRPr="008E28C3">
        <w:rPr>
          <w:b w:val="0"/>
          <w:i w:val="0"/>
          <w:vertAlign w:val="superscript"/>
        </w:rPr>
        <w:t>st</w:t>
      </w:r>
      <w:r w:rsidRPr="008E28C3">
        <w:rPr>
          <w:b w:val="0"/>
          <w:i w:val="0"/>
        </w:rPr>
        <w:t xml:space="preserve"> through December 31</w:t>
      </w:r>
      <w:r w:rsidRPr="008E28C3">
        <w:rPr>
          <w:b w:val="0"/>
          <w:i w:val="0"/>
          <w:vertAlign w:val="superscript"/>
        </w:rPr>
        <w:t>st</w:t>
      </w:r>
      <w:r w:rsidRPr="008E28C3">
        <w:rPr>
          <w:b w:val="0"/>
          <w:i w:val="0"/>
        </w:rPr>
        <w:t>.  The amount of his deductible is $400.  On August 12</w:t>
      </w:r>
      <w:r w:rsidRPr="008E28C3">
        <w:rPr>
          <w:b w:val="0"/>
          <w:i w:val="0"/>
          <w:vertAlign w:val="superscript"/>
        </w:rPr>
        <w:t>th</w:t>
      </w:r>
      <w:r w:rsidRPr="008E28C3">
        <w:rPr>
          <w:b w:val="0"/>
          <w:i w:val="0"/>
        </w:rPr>
        <w:t>, Sam sends in the following medical expenses to his IM worker: July 12</w:t>
      </w:r>
      <w:r w:rsidRPr="008E28C3">
        <w:rPr>
          <w:b w:val="0"/>
          <w:i w:val="0"/>
          <w:vertAlign w:val="superscript"/>
        </w:rPr>
        <w:t>th</w:t>
      </w:r>
      <w:r w:rsidRPr="008E28C3">
        <w:rPr>
          <w:b w:val="0"/>
          <w:i w:val="0"/>
        </w:rPr>
        <w:t xml:space="preserve"> doctor visit-$50, July 25</w:t>
      </w:r>
      <w:r w:rsidRPr="008E28C3">
        <w:rPr>
          <w:b w:val="0"/>
          <w:i w:val="0"/>
          <w:vertAlign w:val="superscript"/>
        </w:rPr>
        <w:t>th</w:t>
      </w:r>
      <w:r w:rsidRPr="008E28C3">
        <w:rPr>
          <w:b w:val="0"/>
          <w:i w:val="0"/>
        </w:rPr>
        <w:t xml:space="preserve"> doctor visit-$75, August 1</w:t>
      </w:r>
      <w:r w:rsidRPr="008E28C3">
        <w:rPr>
          <w:b w:val="0"/>
          <w:i w:val="0"/>
          <w:vertAlign w:val="superscript"/>
        </w:rPr>
        <w:t>st</w:t>
      </w:r>
      <w:r w:rsidRPr="008E28C3">
        <w:rPr>
          <w:b w:val="0"/>
          <w:i w:val="0"/>
        </w:rPr>
        <w:t xml:space="preserve"> Emergency Room-$600.  </w:t>
      </w:r>
    </w:p>
    <w:p w:rsidR="00A576C3" w:rsidRDefault="00A576C3" w:rsidP="00A576C3">
      <w:pPr>
        <w:pStyle w:val="BodyText"/>
        <w:rPr>
          <w:b w:val="0"/>
          <w:i w:val="0"/>
        </w:rPr>
      </w:pPr>
    </w:p>
    <w:p w:rsidR="00A576C3" w:rsidRDefault="00A576C3" w:rsidP="00A576C3">
      <w:pPr>
        <w:pStyle w:val="BodyText"/>
        <w:ind w:firstLine="720"/>
        <w:rPr>
          <w:color w:val="FF0000"/>
        </w:rPr>
      </w:pPr>
      <w:r w:rsidRPr="008E28C3">
        <w:rPr>
          <w:b w:val="0"/>
          <w:i w:val="0"/>
        </w:rPr>
        <w:t>When will Sam become eligible for Medicaid?</w:t>
      </w:r>
      <w:r>
        <w:t xml:space="preserve">  </w:t>
      </w:r>
      <w:r w:rsidRPr="008E28C3">
        <w:rPr>
          <w:b w:val="0"/>
          <w:bCs w:val="0"/>
          <w:i w:val="0"/>
          <w:iCs w:val="0"/>
          <w:color w:val="FF0000"/>
        </w:rPr>
        <w:t>August 1</w:t>
      </w:r>
      <w:r w:rsidRPr="008E28C3">
        <w:rPr>
          <w:b w:val="0"/>
          <w:bCs w:val="0"/>
          <w:i w:val="0"/>
          <w:iCs w:val="0"/>
          <w:color w:val="FF0000"/>
          <w:vertAlign w:val="superscript"/>
        </w:rPr>
        <w:t>st</w:t>
      </w:r>
      <w:r w:rsidRPr="008E28C3">
        <w:rPr>
          <w:color w:val="FF0000"/>
        </w:rPr>
        <w:t xml:space="preserve"> </w:t>
      </w:r>
    </w:p>
    <w:p w:rsidR="00A576C3" w:rsidRPr="00533669" w:rsidRDefault="00A576C3" w:rsidP="00A576C3">
      <w:pPr>
        <w:pStyle w:val="BodyText"/>
        <w:ind w:firstLine="720"/>
        <w:rPr>
          <w:b w:val="0"/>
          <w:i w:val="0"/>
          <w:color w:val="FF0000"/>
        </w:rPr>
      </w:pPr>
      <w:r>
        <w:rPr>
          <w:b w:val="0"/>
          <w:i w:val="0"/>
        </w:rPr>
        <w:t xml:space="preserve">When will his certification period end? </w:t>
      </w:r>
      <w:r>
        <w:rPr>
          <w:b w:val="0"/>
          <w:i w:val="0"/>
          <w:color w:val="FF0000"/>
        </w:rPr>
        <w:t>December 31</w:t>
      </w:r>
      <w:r w:rsidRPr="00533669">
        <w:rPr>
          <w:b w:val="0"/>
          <w:i w:val="0"/>
          <w:color w:val="FF0000"/>
          <w:vertAlign w:val="superscript"/>
        </w:rPr>
        <w:t>st</w:t>
      </w:r>
      <w:r>
        <w:rPr>
          <w:b w:val="0"/>
          <w:i w:val="0"/>
          <w:color w:val="FF0000"/>
        </w:rPr>
        <w:t xml:space="preserve"> (will accept January 1</w:t>
      </w:r>
      <w:r w:rsidRPr="00533669">
        <w:rPr>
          <w:b w:val="0"/>
          <w:i w:val="0"/>
          <w:color w:val="FF0000"/>
          <w:vertAlign w:val="superscript"/>
        </w:rPr>
        <w:t>st</w:t>
      </w:r>
      <w:r>
        <w:rPr>
          <w:b w:val="0"/>
          <w:i w:val="0"/>
          <w:color w:val="FF0000"/>
        </w:rPr>
        <w:t xml:space="preserve"> as well)</w:t>
      </w:r>
    </w:p>
    <w:p w:rsidR="00A576C3" w:rsidRPr="00533669" w:rsidRDefault="00A576C3" w:rsidP="00A576C3">
      <w:pPr>
        <w:pStyle w:val="BodyText"/>
        <w:ind w:left="720"/>
        <w:rPr>
          <w:b w:val="0"/>
          <w:i w:val="0"/>
          <w:color w:val="FF0000"/>
        </w:rPr>
      </w:pPr>
      <w:r>
        <w:rPr>
          <w:b w:val="0"/>
          <w:i w:val="0"/>
        </w:rPr>
        <w:t xml:space="preserve">Is form F-10109 necessary? Why? </w:t>
      </w:r>
      <w:r>
        <w:rPr>
          <w:b w:val="0"/>
          <w:i w:val="0"/>
          <w:color w:val="FF0000"/>
        </w:rPr>
        <w:t>Yes, as part of that bill was used to meet the deductible, therefore Medicaid can only cover a portion of it.  See PH 19.3.8 and MEH 24.9</w:t>
      </w:r>
    </w:p>
    <w:p w:rsidR="00A576C3" w:rsidRDefault="00A576C3" w:rsidP="00A576C3">
      <w:pPr>
        <w:pStyle w:val="NormalWeb"/>
        <w:rPr>
          <w:rFonts w:ascii="Times New Roman" w:hAnsi="Times New Roman" w:cs="Times New Roman"/>
          <w:b/>
          <w:bCs/>
        </w:rPr>
      </w:pPr>
    </w:p>
    <w:p w:rsidR="00A576C3" w:rsidRDefault="00A576C3" w:rsidP="00A576C3">
      <w:pPr>
        <w:pStyle w:val="NormalWeb"/>
        <w:rPr>
          <w:rFonts w:ascii="Times New Roman" w:hAnsi="Times New Roman" w:cs="Times New Roman"/>
        </w:rPr>
      </w:pPr>
      <w:r>
        <w:rPr>
          <w:rFonts w:ascii="Times New Roman" w:hAnsi="Times New Roman" w:cs="Times New Roman"/>
        </w:rPr>
        <w:t xml:space="preserve">29. What is </w:t>
      </w:r>
      <w:proofErr w:type="spellStart"/>
      <w:r>
        <w:rPr>
          <w:rFonts w:ascii="Times New Roman" w:hAnsi="Times New Roman" w:cs="Times New Roman"/>
        </w:rPr>
        <w:t>SeniorCare</w:t>
      </w:r>
      <w:proofErr w:type="spellEnd"/>
      <w:r>
        <w:rPr>
          <w:rFonts w:ascii="Times New Roman" w:hAnsi="Times New Roman" w:cs="Times New Roman"/>
        </w:rPr>
        <w:t>? Who administers this program? How does one apply for this benefit?</w:t>
      </w:r>
    </w:p>
    <w:p w:rsidR="00A576C3" w:rsidRDefault="00A576C3" w:rsidP="00A576C3">
      <w:pPr>
        <w:pStyle w:val="NormalWeb"/>
        <w:rPr>
          <w:rFonts w:ascii="Times New Roman" w:hAnsi="Times New Roman" w:cs="Times New Roman"/>
        </w:rPr>
      </w:pPr>
    </w:p>
    <w:p w:rsidR="00A576C3" w:rsidRPr="00533669" w:rsidRDefault="00A576C3" w:rsidP="00A576C3">
      <w:pPr>
        <w:pStyle w:val="NormalWeb"/>
        <w:ind w:left="720"/>
        <w:rPr>
          <w:rFonts w:ascii="Times New Roman" w:hAnsi="Times New Roman" w:cs="Times New Roman"/>
          <w:b/>
          <w:bCs/>
          <w:color w:val="FF0000"/>
        </w:rPr>
      </w:pPr>
      <w:r>
        <w:rPr>
          <w:rFonts w:ascii="Times New Roman" w:hAnsi="Times New Roman" w:cs="Times New Roman"/>
          <w:color w:val="FF0000"/>
        </w:rPr>
        <w:t xml:space="preserve">Chapter 33 of MEH.  </w:t>
      </w:r>
      <w:proofErr w:type="spellStart"/>
      <w:r>
        <w:rPr>
          <w:rFonts w:ascii="Times New Roman" w:hAnsi="Times New Roman" w:cs="Times New Roman"/>
          <w:color w:val="FF0000"/>
        </w:rPr>
        <w:t>SeniorCare</w:t>
      </w:r>
      <w:proofErr w:type="spellEnd"/>
      <w:r>
        <w:rPr>
          <w:rFonts w:ascii="Times New Roman" w:hAnsi="Times New Roman" w:cs="Times New Roman"/>
          <w:color w:val="FF0000"/>
        </w:rPr>
        <w:t xml:space="preserve"> is a prescription drug assistance program administered by the State of Wisconsin (DHS thru EM CAPO). Paper applications can be obtained from the </w:t>
      </w:r>
      <w:proofErr w:type="spellStart"/>
      <w:r>
        <w:rPr>
          <w:rFonts w:ascii="Times New Roman" w:hAnsi="Times New Roman" w:cs="Times New Roman"/>
          <w:color w:val="FF0000"/>
        </w:rPr>
        <w:lastRenderedPageBreak/>
        <w:t>SeniorCare</w:t>
      </w:r>
      <w:proofErr w:type="spellEnd"/>
      <w:r>
        <w:rPr>
          <w:rFonts w:ascii="Times New Roman" w:hAnsi="Times New Roman" w:cs="Times New Roman"/>
          <w:color w:val="FF0000"/>
        </w:rPr>
        <w:t xml:space="preserve"> website, obtained from the ADRC, or customers can call 1-800-657-2038.  APP is mailed to </w:t>
      </w:r>
      <w:proofErr w:type="spellStart"/>
      <w:r>
        <w:rPr>
          <w:rFonts w:ascii="Times New Roman" w:hAnsi="Times New Roman" w:cs="Times New Roman"/>
          <w:color w:val="FF0000"/>
        </w:rPr>
        <w:t>SeniorCare</w:t>
      </w:r>
      <w:proofErr w:type="spellEnd"/>
      <w:r>
        <w:rPr>
          <w:rFonts w:ascii="Times New Roman" w:hAnsi="Times New Roman" w:cs="Times New Roman"/>
          <w:color w:val="FF0000"/>
        </w:rPr>
        <w:t>, PO Box 6710, Madison, WI 53716.</w:t>
      </w:r>
    </w:p>
    <w:p w:rsidR="00A576C3" w:rsidRDefault="00A576C3" w:rsidP="00A576C3">
      <w:pPr>
        <w:pStyle w:val="NormalWeb"/>
        <w:rPr>
          <w:rFonts w:ascii="Times New Roman" w:hAnsi="Times New Roman" w:cs="Times New Roman"/>
          <w:b/>
          <w:bCs/>
        </w:rPr>
      </w:pPr>
    </w:p>
    <w:p w:rsidR="00A576C3" w:rsidRDefault="00A576C3" w:rsidP="00A576C3">
      <w:pPr>
        <w:pStyle w:val="NormalWeb"/>
        <w:rPr>
          <w:rFonts w:ascii="Times New Roman" w:hAnsi="Times New Roman" w:cs="Times New Roman"/>
        </w:rPr>
      </w:pPr>
      <w:r>
        <w:rPr>
          <w:rFonts w:ascii="Times New Roman" w:hAnsi="Times New Roman" w:cs="Times New Roman"/>
        </w:rPr>
        <w:t xml:space="preserve">30. Describe in your own words how SSI benefits differ from other Social Security benefits (OASDI) payments.  Specifically, what are benefits than an SSI recipient automatically receive that an OASDI recipient does not. </w:t>
      </w:r>
    </w:p>
    <w:p w:rsidR="00A576C3" w:rsidRDefault="00A576C3" w:rsidP="00A576C3">
      <w:pPr>
        <w:pStyle w:val="NormalWeb"/>
        <w:rPr>
          <w:rFonts w:ascii="Times New Roman" w:hAnsi="Times New Roman" w:cs="Times New Roman"/>
        </w:rPr>
      </w:pPr>
    </w:p>
    <w:p w:rsidR="00A576C3" w:rsidRPr="00BF2ED8" w:rsidRDefault="00A576C3" w:rsidP="00A576C3">
      <w:pPr>
        <w:pStyle w:val="NormalWeb"/>
        <w:rPr>
          <w:rFonts w:ascii="Times New Roman" w:hAnsi="Times New Roman" w:cs="Times New Roman"/>
          <w:color w:val="FF0000"/>
        </w:rPr>
      </w:pPr>
      <w:r>
        <w:rPr>
          <w:rFonts w:ascii="Times New Roman" w:hAnsi="Times New Roman" w:cs="Times New Roman"/>
        </w:rPr>
        <w:tab/>
      </w:r>
      <w:r>
        <w:rPr>
          <w:rFonts w:ascii="Times New Roman" w:hAnsi="Times New Roman" w:cs="Times New Roman"/>
          <w:color w:val="FF0000"/>
        </w:rPr>
        <w:t>Answers will vary.  Primarily looking for the worker to show understanding that SSI recipients automatically receive MA through the State, that SSI recipients automatically have Medicare premiums covered, that SSI recipients receive an additional payment directly from the State as well.</w:t>
      </w:r>
    </w:p>
    <w:p w:rsidR="00A576C3" w:rsidRDefault="00A576C3" w:rsidP="00A576C3">
      <w:pPr>
        <w:pStyle w:val="NormalWeb"/>
        <w:rPr>
          <w:rFonts w:ascii="Times New Roman" w:hAnsi="Times New Roman" w:cs="Times New Roman"/>
        </w:rPr>
      </w:pPr>
      <w:r>
        <w:rPr>
          <w:rFonts w:ascii="Times New Roman" w:hAnsi="Times New Roman" w:cs="Times New Roman"/>
        </w:rPr>
        <w:tab/>
      </w:r>
    </w:p>
    <w:p w:rsidR="00A576C3" w:rsidRDefault="00A576C3" w:rsidP="00A576C3">
      <w:pPr>
        <w:pStyle w:val="NormalWeb"/>
        <w:rPr>
          <w:rFonts w:ascii="Times New Roman" w:hAnsi="Times New Roman" w:cs="Times New Roman"/>
        </w:rPr>
      </w:pPr>
    </w:p>
    <w:p w:rsidR="00A576C3" w:rsidRDefault="00A576C3" w:rsidP="00A576C3">
      <w:pPr>
        <w:rPr>
          <w:rFonts w:eastAsia="Arial Unicode MS"/>
          <w:b/>
        </w:rPr>
      </w:pPr>
      <w:r>
        <w:rPr>
          <w:rFonts w:eastAsia="Arial Unicode MS"/>
          <w:b/>
        </w:rPr>
        <w:t xml:space="preserve">CWW TRAINING ENVIRONMENT ENTRY </w:t>
      </w:r>
    </w:p>
    <w:p w:rsidR="00A576C3" w:rsidRDefault="00A576C3" w:rsidP="00A576C3">
      <w:pPr>
        <w:rPr>
          <w:rFonts w:eastAsia="Arial Unicode MS"/>
        </w:rPr>
      </w:pPr>
    </w:p>
    <w:p w:rsidR="00A576C3" w:rsidRPr="003758D6" w:rsidRDefault="00A576C3" w:rsidP="00A576C3">
      <w:pPr>
        <w:rPr>
          <w:rFonts w:eastAsia="Arial Unicode MS"/>
          <w:b/>
        </w:rPr>
      </w:pPr>
      <w:r>
        <w:rPr>
          <w:rFonts w:eastAsia="Arial Unicode MS"/>
        </w:rPr>
        <w:t xml:space="preserve">Attached you will find an EBD Medicaid application for “Jonathan.”  You will process this application just as a “real world” request for assistance.  Carefully review the following instructions and application prior to entering the information into the CWW training environment. </w:t>
      </w:r>
      <w:r>
        <w:rPr>
          <w:rFonts w:eastAsia="Arial Unicode MS"/>
          <w:b/>
        </w:rPr>
        <w:t>This is an “open book” test – use your resources (such as the Medicaid Handbook and Process Help) to help solve any questions you might encounter.</w:t>
      </w:r>
    </w:p>
    <w:p w:rsidR="00A576C3" w:rsidRDefault="00A576C3" w:rsidP="00A576C3">
      <w:pPr>
        <w:rPr>
          <w:rFonts w:eastAsia="Arial Unicode MS"/>
        </w:rPr>
      </w:pPr>
    </w:p>
    <w:p w:rsidR="00A576C3" w:rsidRDefault="00A576C3" w:rsidP="00A576C3">
      <w:pPr>
        <w:pStyle w:val="ListParagraph"/>
        <w:numPr>
          <w:ilvl w:val="0"/>
          <w:numId w:val="11"/>
        </w:numPr>
        <w:rPr>
          <w:rFonts w:eastAsia="Arial Unicode MS"/>
        </w:rPr>
      </w:pPr>
      <w:r w:rsidRPr="00847776">
        <w:rPr>
          <w:rFonts w:eastAsia="Arial Unicode MS"/>
        </w:rPr>
        <w:t xml:space="preserve">The application filing date is today’s date.  </w:t>
      </w:r>
    </w:p>
    <w:p w:rsidR="00A576C3" w:rsidRDefault="00A576C3" w:rsidP="00A576C3">
      <w:pPr>
        <w:pStyle w:val="ListParagraph"/>
        <w:numPr>
          <w:ilvl w:val="0"/>
          <w:numId w:val="11"/>
        </w:numPr>
        <w:rPr>
          <w:rFonts w:eastAsia="Arial Unicode MS"/>
        </w:rPr>
      </w:pPr>
      <w:r>
        <w:rPr>
          <w:rFonts w:eastAsia="Arial Unicode MS"/>
        </w:rPr>
        <w:t>U</w:t>
      </w:r>
      <w:r w:rsidRPr="00847776">
        <w:rPr>
          <w:rFonts w:eastAsia="Arial Unicode MS"/>
        </w:rPr>
        <w:t xml:space="preserve">se your last name as Jonathan’s last name.  </w:t>
      </w:r>
    </w:p>
    <w:p w:rsidR="00A576C3" w:rsidRDefault="00A576C3" w:rsidP="00A576C3">
      <w:pPr>
        <w:pStyle w:val="ListParagraph"/>
        <w:numPr>
          <w:ilvl w:val="0"/>
          <w:numId w:val="11"/>
        </w:numPr>
        <w:rPr>
          <w:rFonts w:eastAsia="Arial Unicode MS"/>
        </w:rPr>
      </w:pPr>
      <w:r>
        <w:rPr>
          <w:rFonts w:eastAsia="Arial Unicode MS"/>
        </w:rPr>
        <w:t>C</w:t>
      </w:r>
      <w:r w:rsidRPr="00847776">
        <w:rPr>
          <w:rFonts w:eastAsia="Arial Unicode MS"/>
        </w:rPr>
        <w:t xml:space="preserve">reate a random SSN for Jonathan.  </w:t>
      </w:r>
    </w:p>
    <w:p w:rsidR="00A576C3" w:rsidRPr="003758D6" w:rsidRDefault="00A576C3" w:rsidP="00A576C3">
      <w:pPr>
        <w:pStyle w:val="ListParagraph"/>
        <w:numPr>
          <w:ilvl w:val="0"/>
          <w:numId w:val="11"/>
        </w:numPr>
        <w:rPr>
          <w:rFonts w:eastAsia="Arial Unicode MS"/>
        </w:rPr>
      </w:pPr>
      <w:r>
        <w:rPr>
          <w:rFonts w:eastAsia="Arial Unicode MS"/>
        </w:rPr>
        <w:t>Verifications attached should be considered the most up-to-date values.</w:t>
      </w:r>
    </w:p>
    <w:p w:rsidR="00A576C3" w:rsidRDefault="00A576C3" w:rsidP="00A576C3">
      <w:pPr>
        <w:pStyle w:val="ListParagraph"/>
        <w:numPr>
          <w:ilvl w:val="0"/>
          <w:numId w:val="11"/>
        </w:numPr>
        <w:rPr>
          <w:rFonts w:eastAsia="Arial Unicode MS"/>
        </w:rPr>
      </w:pPr>
      <w:r w:rsidRPr="007A3223">
        <w:rPr>
          <w:rFonts w:eastAsia="Arial Unicode MS"/>
        </w:rPr>
        <w:t>If you have questions</w:t>
      </w:r>
      <w:r>
        <w:rPr>
          <w:rFonts w:eastAsia="Arial Unicode MS"/>
        </w:rPr>
        <w:t xml:space="preserve"> about application information</w:t>
      </w:r>
      <w:r w:rsidRPr="007A3223">
        <w:rPr>
          <w:rFonts w:eastAsia="Arial Unicode MS"/>
        </w:rPr>
        <w:t>, “call” Jonathan by emailing your trainer.</w:t>
      </w:r>
    </w:p>
    <w:p w:rsidR="00A576C3" w:rsidRDefault="00A576C3" w:rsidP="00A576C3">
      <w:pPr>
        <w:pStyle w:val="ListParagraph"/>
        <w:numPr>
          <w:ilvl w:val="0"/>
          <w:numId w:val="11"/>
        </w:numPr>
        <w:rPr>
          <w:rFonts w:eastAsia="Arial Unicode MS"/>
        </w:rPr>
      </w:pPr>
      <w:r>
        <w:rPr>
          <w:rFonts w:eastAsia="Arial Unicode MS"/>
        </w:rPr>
        <w:t>If you have a policy issue (after reviewing your resources) or a question is unclear, email your trainer.</w:t>
      </w:r>
    </w:p>
    <w:p w:rsidR="00A576C3" w:rsidRDefault="00A576C3" w:rsidP="00A576C3">
      <w:pPr>
        <w:rPr>
          <w:rFonts w:eastAsia="Arial Unicode MS"/>
        </w:rPr>
      </w:pPr>
    </w:p>
    <w:p w:rsidR="00A576C3" w:rsidRDefault="00A576C3" w:rsidP="00A576C3">
      <w:pPr>
        <w:rPr>
          <w:rFonts w:eastAsia="Arial Unicode MS"/>
        </w:rPr>
      </w:pPr>
    </w:p>
    <w:p w:rsidR="00A576C3" w:rsidRDefault="00A576C3" w:rsidP="00A576C3">
      <w:pPr>
        <w:rPr>
          <w:rFonts w:eastAsia="Arial Unicode MS"/>
        </w:rPr>
      </w:pPr>
      <w:r>
        <w:rPr>
          <w:rFonts w:eastAsia="Arial Unicode MS"/>
        </w:rPr>
        <w:t xml:space="preserve">Jonathan’s Case Number __________________ </w:t>
      </w:r>
    </w:p>
    <w:p w:rsidR="00A576C3" w:rsidRDefault="00A576C3" w:rsidP="00A576C3">
      <w:pPr>
        <w:rPr>
          <w:rFonts w:eastAsia="Arial Unicode MS"/>
        </w:rPr>
      </w:pPr>
    </w:p>
    <w:p w:rsidR="00A576C3" w:rsidRPr="009104F6" w:rsidRDefault="00A576C3" w:rsidP="00A576C3">
      <w:pPr>
        <w:rPr>
          <w:rFonts w:eastAsia="Arial Unicode MS"/>
          <w:color w:val="FF0000"/>
        </w:rPr>
      </w:pPr>
      <w:r>
        <w:rPr>
          <w:rFonts w:eastAsia="Arial Unicode MS"/>
        </w:rPr>
        <w:tab/>
      </w:r>
      <w:r>
        <w:rPr>
          <w:rFonts w:eastAsia="Arial Unicode MS"/>
          <w:color w:val="FF0000"/>
        </w:rPr>
        <w:t xml:space="preserve">Answer Key - CWW Training Case </w:t>
      </w:r>
      <w:r w:rsidRPr="009104F6">
        <w:rPr>
          <w:rFonts w:eastAsia="Arial Unicode MS"/>
          <w:color w:val="FF0000"/>
        </w:rPr>
        <w:t>0104280107</w:t>
      </w:r>
    </w:p>
    <w:p w:rsidR="00A576C3" w:rsidRDefault="00A576C3" w:rsidP="00A576C3">
      <w:pPr>
        <w:rPr>
          <w:highlight w:val="yellow"/>
        </w:rPr>
      </w:pPr>
    </w:p>
    <w:p w:rsidR="00A576C3" w:rsidRPr="00CE733C" w:rsidRDefault="00A576C3" w:rsidP="00A576C3">
      <w:pPr>
        <w:rPr>
          <w:rFonts w:eastAsia="Arial Unicode MS"/>
          <w:b/>
        </w:rPr>
      </w:pPr>
      <w:r w:rsidRPr="00CE733C">
        <w:rPr>
          <w:rFonts w:eastAsia="Arial Unicode MS"/>
          <w:b/>
        </w:rPr>
        <w:t>Answer the following questions upon completion of your CWW training entries.</w:t>
      </w:r>
    </w:p>
    <w:p w:rsidR="00A576C3" w:rsidRPr="00C447CA" w:rsidRDefault="00A576C3" w:rsidP="00A576C3">
      <w:pPr>
        <w:rPr>
          <w:highlight w:val="yellow"/>
        </w:rPr>
      </w:pPr>
    </w:p>
    <w:p w:rsidR="00A576C3" w:rsidRPr="00BE0262" w:rsidRDefault="00A576C3" w:rsidP="00A576C3">
      <w:pPr>
        <w:pStyle w:val="ListParagraph"/>
        <w:numPr>
          <w:ilvl w:val="0"/>
          <w:numId w:val="12"/>
        </w:numPr>
      </w:pPr>
      <w:r w:rsidRPr="00BE0262">
        <w:t xml:space="preserve">Is </w:t>
      </w:r>
      <w:r>
        <w:t>Jonathan</w:t>
      </w:r>
      <w:r w:rsidRPr="00BE0262">
        <w:t xml:space="preserve"> eligible for </w:t>
      </w:r>
      <w:r>
        <w:t>any Medicaid programs</w:t>
      </w:r>
      <w:r w:rsidRPr="00BE0262">
        <w:t xml:space="preserve">? </w:t>
      </w:r>
      <w:r>
        <w:t>If so, which</w:t>
      </w:r>
      <w:r w:rsidRPr="00BE0262">
        <w:t xml:space="preserve"> program(s)?</w:t>
      </w:r>
      <w:r>
        <w:t xml:space="preserve"> What med stat codes will show up in </w:t>
      </w:r>
      <w:proofErr w:type="spellStart"/>
      <w:r>
        <w:t>ForwardHealth</w:t>
      </w:r>
      <w:proofErr w:type="spellEnd"/>
      <w:r>
        <w:t xml:space="preserve">?  </w:t>
      </w:r>
    </w:p>
    <w:p w:rsidR="00A576C3" w:rsidRPr="00BE0262" w:rsidRDefault="00A576C3" w:rsidP="00A576C3"/>
    <w:p w:rsidR="00A576C3" w:rsidRPr="00152A72" w:rsidRDefault="00A576C3" w:rsidP="00A576C3">
      <w:pPr>
        <w:ind w:left="720"/>
        <w:rPr>
          <w:color w:val="FF0000"/>
        </w:rPr>
      </w:pPr>
      <w:r>
        <w:rPr>
          <w:color w:val="FF0000"/>
        </w:rPr>
        <w:t>SSI-related Medicaid (NS – Med Needy) and QMB.  NS Med Stat 23.  QMB Med Stat QR. Med Stats found in PH 81.2.</w:t>
      </w:r>
    </w:p>
    <w:p w:rsidR="00A576C3" w:rsidRPr="00BE0262" w:rsidRDefault="00A576C3" w:rsidP="00A576C3"/>
    <w:p w:rsidR="00A576C3" w:rsidRPr="00BE0262" w:rsidRDefault="00A576C3" w:rsidP="00A576C3">
      <w:pPr>
        <w:pStyle w:val="ListParagraph"/>
        <w:numPr>
          <w:ilvl w:val="0"/>
          <w:numId w:val="12"/>
        </w:numPr>
      </w:pPr>
      <w:r w:rsidRPr="00BE0262">
        <w:t>What value</w:t>
      </w:r>
      <w:r>
        <w:t>(s)</w:t>
      </w:r>
      <w:r w:rsidRPr="00BE0262">
        <w:t xml:space="preserve"> did you enter </w:t>
      </w:r>
      <w:r>
        <w:t xml:space="preserve">into CWW </w:t>
      </w:r>
      <w:r w:rsidRPr="00BE0262">
        <w:t>for the checking account balance? Explain why you chose the value</w:t>
      </w:r>
      <w:r>
        <w:t>(s)</w:t>
      </w:r>
      <w:r w:rsidRPr="00BE0262">
        <w:t xml:space="preserve"> that you used.</w:t>
      </w:r>
    </w:p>
    <w:p w:rsidR="00A576C3" w:rsidRDefault="00A576C3" w:rsidP="00A576C3"/>
    <w:p w:rsidR="00A576C3" w:rsidRPr="00791806" w:rsidRDefault="00A576C3" w:rsidP="00A576C3">
      <w:pPr>
        <w:ind w:left="720"/>
        <w:rPr>
          <w:color w:val="FF0000"/>
        </w:rPr>
      </w:pPr>
      <w:r>
        <w:rPr>
          <w:color w:val="FF0000"/>
        </w:rPr>
        <w:t>$0.00. SS income must be subtracted from the balance as income is not an asset in month received.  MEH 16.1.</w:t>
      </w:r>
    </w:p>
    <w:p w:rsidR="00A576C3" w:rsidRDefault="00A576C3" w:rsidP="00A576C3">
      <w:r w:rsidRPr="00BE0262">
        <w:t xml:space="preserve">  </w:t>
      </w:r>
    </w:p>
    <w:p w:rsidR="00A576C3" w:rsidRDefault="00A576C3" w:rsidP="00A576C3">
      <w:pPr>
        <w:pStyle w:val="ListParagraph"/>
        <w:numPr>
          <w:ilvl w:val="0"/>
          <w:numId w:val="12"/>
        </w:numPr>
      </w:pPr>
      <w:r>
        <w:t>What value(s) did you enter into CWW for the life insurance asset? Explain why you chose the value(s) that you used.</w:t>
      </w:r>
    </w:p>
    <w:p w:rsidR="00A576C3" w:rsidRDefault="00A576C3" w:rsidP="00A576C3"/>
    <w:p w:rsidR="00A576C3" w:rsidRPr="00791806" w:rsidRDefault="00A576C3" w:rsidP="00A576C3">
      <w:pPr>
        <w:ind w:left="720"/>
        <w:rPr>
          <w:color w:val="FF0000"/>
        </w:rPr>
      </w:pPr>
      <w:r>
        <w:rPr>
          <w:color w:val="FF0000"/>
        </w:rPr>
        <w:lastRenderedPageBreak/>
        <w:t>Face Value $1,000. Cash Surrender Value $500.  Used most recent Net surrender value as there is a $400 loan balance.  MEH 16.7.5</w:t>
      </w:r>
    </w:p>
    <w:p w:rsidR="00A576C3" w:rsidRDefault="00A576C3" w:rsidP="00A576C3"/>
    <w:p w:rsidR="00A576C3" w:rsidRDefault="00A576C3" w:rsidP="00A576C3">
      <w:pPr>
        <w:pStyle w:val="ListParagraph"/>
        <w:numPr>
          <w:ilvl w:val="0"/>
          <w:numId w:val="12"/>
        </w:numPr>
      </w:pPr>
      <w:r>
        <w:t>What value(s) did you enter into CWW for the burial asset? Explain why you chose the value(s) that you used.</w:t>
      </w:r>
    </w:p>
    <w:p w:rsidR="00A576C3" w:rsidRDefault="00A576C3" w:rsidP="00A576C3"/>
    <w:p w:rsidR="00A576C3" w:rsidRPr="00757AD0" w:rsidRDefault="00A576C3" w:rsidP="00A576C3">
      <w:pPr>
        <w:ind w:left="720"/>
        <w:rPr>
          <w:color w:val="FF0000"/>
        </w:rPr>
      </w:pPr>
      <w:r>
        <w:rPr>
          <w:color w:val="FF0000"/>
        </w:rPr>
        <w:t>Two pages built.  Burial Space for Casket $1395. Irrevocable Burial Trust $3430.21.  Burial spaces are to be separated out from the trust.  The casket is considered exempt, while the remaining trust value counts toward the $4500 exempt limit.  Any value over $4500 for the trust is a counted asset. If casket is not separated, then some of the burial trust would count as an asset to the assistance group.  MEH 16.5.1 and 16.5.4, Process Help 17.1.5.1.</w:t>
      </w:r>
    </w:p>
    <w:p w:rsidR="00A576C3" w:rsidRDefault="00A576C3" w:rsidP="00A576C3"/>
    <w:p w:rsidR="00A576C3" w:rsidRDefault="00A576C3" w:rsidP="00A576C3">
      <w:pPr>
        <w:pStyle w:val="ListParagraph"/>
        <w:numPr>
          <w:ilvl w:val="0"/>
          <w:numId w:val="12"/>
        </w:numPr>
      </w:pPr>
      <w:r>
        <w:t xml:space="preserve">Are any of the reported assets exempt (not counted) toward the total assets for benefit determination? If so, which asset(s)? </w:t>
      </w:r>
    </w:p>
    <w:p w:rsidR="00A576C3" w:rsidRDefault="00A576C3" w:rsidP="00A576C3"/>
    <w:p w:rsidR="00A576C3" w:rsidRDefault="00A576C3" w:rsidP="00A576C3">
      <w:pPr>
        <w:ind w:left="720"/>
        <w:rPr>
          <w:color w:val="FF0000"/>
        </w:rPr>
      </w:pPr>
      <w:r>
        <w:rPr>
          <w:color w:val="FF0000"/>
        </w:rPr>
        <w:t xml:space="preserve">Yes.  The vehicle (MEH 16.7.9.2) and the burial asset. </w:t>
      </w:r>
    </w:p>
    <w:p w:rsidR="00A576C3" w:rsidRDefault="00A576C3" w:rsidP="00A576C3">
      <w:pPr>
        <w:ind w:left="720"/>
        <w:rPr>
          <w:color w:val="FF0000"/>
        </w:rPr>
      </w:pPr>
    </w:p>
    <w:p w:rsidR="00A576C3" w:rsidRPr="00E05AD5" w:rsidRDefault="00A576C3" w:rsidP="00A576C3">
      <w:pPr>
        <w:ind w:left="720"/>
        <w:rPr>
          <w:color w:val="FF0000"/>
        </w:rPr>
      </w:pPr>
      <w:r>
        <w:rPr>
          <w:color w:val="FF0000"/>
        </w:rPr>
        <w:t>(MEH citations on previous question. Casket is exempt, so once subtracted from the burial trust, the trust becomes exempt as well as under $4500).</w:t>
      </w:r>
    </w:p>
    <w:p w:rsidR="00A576C3" w:rsidRDefault="00A576C3" w:rsidP="00A576C3"/>
    <w:p w:rsidR="00A576C3" w:rsidRDefault="00A576C3" w:rsidP="00A576C3"/>
    <w:p w:rsidR="00A576C3" w:rsidRDefault="00A576C3" w:rsidP="00A576C3">
      <w:pPr>
        <w:pStyle w:val="ListParagraph"/>
        <w:numPr>
          <w:ilvl w:val="0"/>
          <w:numId w:val="12"/>
        </w:numPr>
      </w:pPr>
      <w:r>
        <w:t>What is the total value of counted assets for this application?</w:t>
      </w:r>
    </w:p>
    <w:p w:rsidR="00A576C3" w:rsidRDefault="00A576C3" w:rsidP="00A576C3"/>
    <w:p w:rsidR="00A576C3" w:rsidRPr="00D65FF2" w:rsidRDefault="00A576C3" w:rsidP="00A576C3">
      <w:pPr>
        <w:ind w:left="720"/>
        <w:rPr>
          <w:color w:val="FF0000"/>
        </w:rPr>
      </w:pPr>
      <w:r>
        <w:rPr>
          <w:color w:val="FF0000"/>
        </w:rPr>
        <w:t>$0.00</w:t>
      </w:r>
    </w:p>
    <w:p w:rsidR="00A576C3" w:rsidRDefault="00A576C3" w:rsidP="00A576C3"/>
    <w:p w:rsidR="00A576C3" w:rsidRDefault="00A576C3" w:rsidP="00A576C3">
      <w:pPr>
        <w:pStyle w:val="ListParagraph"/>
        <w:numPr>
          <w:ilvl w:val="0"/>
          <w:numId w:val="12"/>
        </w:numPr>
      </w:pPr>
      <w:r>
        <w:t>What is Jonathan’s net income for the program(s) he requested? What income deductions are applied to his gross income?</w:t>
      </w:r>
    </w:p>
    <w:p w:rsidR="00A576C3" w:rsidRDefault="00A576C3" w:rsidP="00A576C3"/>
    <w:p w:rsidR="00A576C3" w:rsidRPr="00D65FF2" w:rsidRDefault="00A576C3" w:rsidP="00A576C3">
      <w:pPr>
        <w:ind w:left="720"/>
        <w:rPr>
          <w:color w:val="FF0000"/>
        </w:rPr>
      </w:pPr>
      <w:r>
        <w:rPr>
          <w:color w:val="FF0000"/>
        </w:rPr>
        <w:t>$980.00 for both NS and QMB.  He is given a deduction for Child Support of $200 and the $20 disregard. (MEH 24.1)</w:t>
      </w:r>
    </w:p>
    <w:p w:rsidR="00A576C3" w:rsidRDefault="00A576C3" w:rsidP="00A576C3"/>
    <w:p w:rsidR="00A576C3" w:rsidRDefault="00A576C3" w:rsidP="00A576C3">
      <w:pPr>
        <w:pStyle w:val="ListParagraph"/>
        <w:numPr>
          <w:ilvl w:val="0"/>
          <w:numId w:val="12"/>
        </w:numPr>
      </w:pPr>
      <w:r>
        <w:t>Does Jonathan have a copay limit amount? If yes, what is that limit?</w:t>
      </w:r>
    </w:p>
    <w:p w:rsidR="00A576C3" w:rsidRDefault="00A576C3" w:rsidP="00A576C3"/>
    <w:p w:rsidR="00A576C3" w:rsidRPr="00E833C2" w:rsidRDefault="00A576C3" w:rsidP="00A576C3">
      <w:pPr>
        <w:ind w:left="720"/>
        <w:rPr>
          <w:color w:val="FF0000"/>
        </w:rPr>
      </w:pPr>
      <w:r>
        <w:rPr>
          <w:color w:val="FF0000"/>
        </w:rPr>
        <w:t>Yes. $26 per month copay limit.  Income is above 50% FPL but below 100% FPL. (MEH 21.11 and MEH 39.12)</w:t>
      </w:r>
    </w:p>
    <w:p w:rsidR="00A576C3" w:rsidRDefault="00A576C3" w:rsidP="00A576C3"/>
    <w:p w:rsidR="00A576C3" w:rsidRDefault="00A576C3" w:rsidP="00A576C3">
      <w:pPr>
        <w:pStyle w:val="ListParagraph"/>
        <w:numPr>
          <w:ilvl w:val="0"/>
          <w:numId w:val="12"/>
        </w:numPr>
      </w:pPr>
      <w:r>
        <w:t xml:space="preserve">***Verbal response – call the assigned trainer to answer this question**** </w:t>
      </w:r>
    </w:p>
    <w:p w:rsidR="00A576C3" w:rsidRDefault="00A576C3" w:rsidP="00A576C3">
      <w:pPr>
        <w:pStyle w:val="ListParagraph"/>
      </w:pPr>
    </w:p>
    <w:p w:rsidR="00A576C3" w:rsidRDefault="00A576C3" w:rsidP="00A576C3">
      <w:pPr>
        <w:pStyle w:val="ListParagraph"/>
      </w:pPr>
      <w:r>
        <w:t xml:space="preserve">Jonathan has called our call center.  He would like an explanation of the benefit(s) he’s qualified for.  Explain his benefit(s) to him. </w:t>
      </w:r>
    </w:p>
    <w:p w:rsidR="00A576C3" w:rsidRDefault="00A576C3" w:rsidP="00A576C3"/>
    <w:p w:rsidR="00A576C3" w:rsidRDefault="00A576C3" w:rsidP="00A576C3">
      <w:pPr>
        <w:ind w:left="720"/>
        <w:rPr>
          <w:color w:val="FF0000"/>
        </w:rPr>
      </w:pPr>
      <w:r>
        <w:rPr>
          <w:color w:val="FF0000"/>
        </w:rPr>
        <w:t>Answers will vary.  Key points that worker should touch on:</w:t>
      </w:r>
    </w:p>
    <w:p w:rsidR="00A576C3" w:rsidRDefault="00A576C3" w:rsidP="00A576C3">
      <w:pPr>
        <w:ind w:left="720"/>
        <w:rPr>
          <w:color w:val="FF0000"/>
        </w:rPr>
      </w:pPr>
    </w:p>
    <w:p w:rsidR="00A576C3" w:rsidRDefault="00A576C3" w:rsidP="00A576C3">
      <w:pPr>
        <w:pStyle w:val="ListParagraph"/>
        <w:numPr>
          <w:ilvl w:val="0"/>
          <w:numId w:val="13"/>
        </w:numPr>
        <w:rPr>
          <w:color w:val="FF0000"/>
        </w:rPr>
      </w:pPr>
      <w:r>
        <w:rPr>
          <w:color w:val="FF0000"/>
        </w:rPr>
        <w:t xml:space="preserve">Issuance of </w:t>
      </w:r>
      <w:proofErr w:type="spellStart"/>
      <w:r>
        <w:rPr>
          <w:color w:val="FF0000"/>
        </w:rPr>
        <w:t>ForwardHealth</w:t>
      </w:r>
      <w:proofErr w:type="spellEnd"/>
      <w:r>
        <w:rPr>
          <w:color w:val="FF0000"/>
        </w:rPr>
        <w:t xml:space="preserve"> card (MEH 21.7)</w:t>
      </w:r>
    </w:p>
    <w:p w:rsidR="00A576C3" w:rsidRDefault="00A576C3" w:rsidP="00A576C3">
      <w:pPr>
        <w:pStyle w:val="ListParagraph"/>
        <w:numPr>
          <w:ilvl w:val="0"/>
          <w:numId w:val="13"/>
        </w:numPr>
        <w:rPr>
          <w:color w:val="FF0000"/>
        </w:rPr>
      </w:pPr>
      <w:r>
        <w:rPr>
          <w:color w:val="FF0000"/>
        </w:rPr>
        <w:t>Medicaid as payer of last resort - Medicare pays first, Medicaid is second (MEH 9.6)</w:t>
      </w:r>
    </w:p>
    <w:p w:rsidR="00A576C3" w:rsidRDefault="00A576C3" w:rsidP="00A576C3">
      <w:pPr>
        <w:pStyle w:val="ListParagraph"/>
        <w:numPr>
          <w:ilvl w:val="0"/>
          <w:numId w:val="13"/>
        </w:numPr>
        <w:rPr>
          <w:color w:val="FF0000"/>
        </w:rPr>
      </w:pPr>
      <w:r>
        <w:rPr>
          <w:color w:val="FF0000"/>
        </w:rPr>
        <w:t>Part D is necessary for Rx coverage (MEH 21.4.1)</w:t>
      </w:r>
    </w:p>
    <w:p w:rsidR="00A576C3" w:rsidRDefault="00A576C3" w:rsidP="00A576C3">
      <w:pPr>
        <w:pStyle w:val="ListParagraph"/>
        <w:numPr>
          <w:ilvl w:val="0"/>
          <w:numId w:val="13"/>
        </w:numPr>
        <w:rPr>
          <w:color w:val="FF0000"/>
        </w:rPr>
      </w:pPr>
      <w:r>
        <w:rPr>
          <w:color w:val="FF0000"/>
        </w:rPr>
        <w:t>HMO enrollment info (MEH 21.6)</w:t>
      </w:r>
    </w:p>
    <w:p w:rsidR="00A576C3" w:rsidRDefault="00A576C3" w:rsidP="00A576C3">
      <w:pPr>
        <w:pStyle w:val="ListParagraph"/>
        <w:numPr>
          <w:ilvl w:val="0"/>
          <w:numId w:val="13"/>
        </w:numPr>
        <w:rPr>
          <w:color w:val="FF0000"/>
        </w:rPr>
      </w:pPr>
      <w:r>
        <w:rPr>
          <w:color w:val="FF0000"/>
        </w:rPr>
        <w:t>Provide Member Services #</w:t>
      </w:r>
    </w:p>
    <w:p w:rsidR="00A576C3" w:rsidRDefault="00A576C3" w:rsidP="00A576C3">
      <w:pPr>
        <w:pStyle w:val="ListParagraph"/>
        <w:numPr>
          <w:ilvl w:val="0"/>
          <w:numId w:val="13"/>
        </w:numPr>
        <w:rPr>
          <w:color w:val="FF0000"/>
        </w:rPr>
      </w:pPr>
      <w:r>
        <w:rPr>
          <w:color w:val="FF0000"/>
        </w:rPr>
        <w:t>Provide HMO enrollment #</w:t>
      </w:r>
    </w:p>
    <w:p w:rsidR="00A576C3" w:rsidRPr="00C57958" w:rsidRDefault="00A576C3" w:rsidP="00A576C3">
      <w:pPr>
        <w:pStyle w:val="ListParagraph"/>
        <w:numPr>
          <w:ilvl w:val="0"/>
          <w:numId w:val="13"/>
        </w:numPr>
        <w:rPr>
          <w:color w:val="FF0000"/>
        </w:rPr>
      </w:pPr>
      <w:r>
        <w:rPr>
          <w:color w:val="FF0000"/>
        </w:rPr>
        <w:t>Explain QMB benefits (MEH 32.1.3)</w:t>
      </w:r>
    </w:p>
    <w:p w:rsidR="00A576C3" w:rsidRDefault="00A576C3" w:rsidP="00A576C3">
      <w:pPr>
        <w:ind w:left="720"/>
      </w:pPr>
    </w:p>
    <w:p w:rsidR="00A576C3" w:rsidRDefault="00A576C3" w:rsidP="00A576C3"/>
    <w:p w:rsidR="00A576C3" w:rsidRDefault="00A576C3" w:rsidP="00A576C3"/>
    <w:p w:rsidR="00A576C3" w:rsidRDefault="00A576C3" w:rsidP="00A576C3"/>
    <w:p w:rsidR="00A576C3" w:rsidRDefault="00A576C3" w:rsidP="00A576C3"/>
    <w:p w:rsidR="00A576C3" w:rsidRDefault="00A576C3" w:rsidP="00A576C3">
      <w:pPr>
        <w:pStyle w:val="ListParagraph"/>
        <w:numPr>
          <w:ilvl w:val="0"/>
          <w:numId w:val="12"/>
        </w:numPr>
      </w:pPr>
      <w:r>
        <w:t>Based on Jonathan’s application information, is there other programs out there for Jonathan? What else could he apply for or be referred to?</w:t>
      </w:r>
    </w:p>
    <w:p w:rsidR="00A576C3" w:rsidRDefault="00A576C3" w:rsidP="00A576C3"/>
    <w:p w:rsidR="00A576C3" w:rsidRDefault="00A576C3" w:rsidP="00A576C3">
      <w:pPr>
        <w:ind w:left="720"/>
        <w:rPr>
          <w:color w:val="FF0000"/>
        </w:rPr>
      </w:pPr>
      <w:r>
        <w:rPr>
          <w:color w:val="FF0000"/>
        </w:rPr>
        <w:t>Answers will vary.</w:t>
      </w:r>
    </w:p>
    <w:p w:rsidR="00A576C3" w:rsidRDefault="00A576C3" w:rsidP="00A576C3">
      <w:pPr>
        <w:ind w:left="720"/>
        <w:rPr>
          <w:color w:val="FF0000"/>
        </w:rPr>
      </w:pPr>
    </w:p>
    <w:p w:rsidR="00A576C3" w:rsidRDefault="00A576C3" w:rsidP="00A576C3">
      <w:pPr>
        <w:ind w:left="720"/>
        <w:rPr>
          <w:color w:val="FF0000"/>
        </w:rPr>
      </w:pPr>
      <w:r>
        <w:rPr>
          <w:color w:val="FF0000"/>
        </w:rPr>
        <w:t xml:space="preserve">Primarily looking for worker to recognize </w:t>
      </w:r>
      <w:proofErr w:type="spellStart"/>
      <w:r>
        <w:rPr>
          <w:color w:val="FF0000"/>
        </w:rPr>
        <w:t>FoodShare</w:t>
      </w:r>
      <w:proofErr w:type="spellEnd"/>
      <w:r>
        <w:rPr>
          <w:color w:val="FF0000"/>
        </w:rPr>
        <w:t xml:space="preserve"> as a likely option.  </w:t>
      </w:r>
    </w:p>
    <w:p w:rsidR="00A576C3" w:rsidRDefault="00A576C3" w:rsidP="00A576C3">
      <w:pPr>
        <w:ind w:left="720"/>
        <w:rPr>
          <w:color w:val="FF0000"/>
        </w:rPr>
      </w:pPr>
    </w:p>
    <w:p w:rsidR="00A576C3" w:rsidRPr="00A05481" w:rsidRDefault="00A576C3" w:rsidP="00A576C3">
      <w:pPr>
        <w:ind w:left="720"/>
        <w:rPr>
          <w:color w:val="FF0000"/>
        </w:rPr>
      </w:pPr>
      <w:r>
        <w:rPr>
          <w:color w:val="FF0000"/>
        </w:rPr>
        <w:t xml:space="preserve">Referrals to other agencies could be included with this (worker might reference the capital-im.com Dane County Resources section for example). </w:t>
      </w:r>
    </w:p>
    <w:p w:rsidR="00E942E3" w:rsidRDefault="00E942E3">
      <w:bookmarkStart w:id="0" w:name="_GoBack"/>
      <w:bookmarkEnd w:id="0"/>
    </w:p>
    <w:sectPr w:rsidR="00E942E3">
      <w:pgSz w:w="12240" w:h="15840"/>
      <w:pgMar w:top="1008"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5484"/>
    <w:multiLevelType w:val="hybridMultilevel"/>
    <w:tmpl w:val="36EEC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14C62"/>
    <w:multiLevelType w:val="hybridMultilevel"/>
    <w:tmpl w:val="467C6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C86AB8"/>
    <w:multiLevelType w:val="hybridMultilevel"/>
    <w:tmpl w:val="E9C26662"/>
    <w:lvl w:ilvl="0" w:tplc="FEC445CE">
      <w:numFmt w:val="bullet"/>
      <w:lvlText w:val="•"/>
      <w:lvlJc w:val="left"/>
      <w:pPr>
        <w:ind w:left="1440" w:hanging="72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8D19BA"/>
    <w:multiLevelType w:val="hybridMultilevel"/>
    <w:tmpl w:val="5E8A4DA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07A3B"/>
    <w:multiLevelType w:val="hybridMultilevel"/>
    <w:tmpl w:val="1EC26F4C"/>
    <w:lvl w:ilvl="0" w:tplc="FEC445CE">
      <w:numFmt w:val="bullet"/>
      <w:lvlText w:val="•"/>
      <w:lvlJc w:val="left"/>
      <w:pPr>
        <w:ind w:left="1080" w:hanging="72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543DC"/>
    <w:multiLevelType w:val="hybridMultilevel"/>
    <w:tmpl w:val="F41EA75C"/>
    <w:lvl w:ilvl="0" w:tplc="8CD8CC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870960"/>
    <w:multiLevelType w:val="hybridMultilevel"/>
    <w:tmpl w:val="9804679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8706E9"/>
    <w:multiLevelType w:val="hybridMultilevel"/>
    <w:tmpl w:val="78D623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7219B"/>
    <w:multiLevelType w:val="hybridMultilevel"/>
    <w:tmpl w:val="BB6A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FA1A91"/>
    <w:multiLevelType w:val="hybridMultilevel"/>
    <w:tmpl w:val="A53C6E0E"/>
    <w:lvl w:ilvl="0" w:tplc="04090015">
      <w:start w:val="1"/>
      <w:numFmt w:val="upperLetter"/>
      <w:lvlText w:val="%1."/>
      <w:lvlJc w:val="left"/>
      <w:pPr>
        <w:tabs>
          <w:tab w:val="num" w:pos="1440"/>
        </w:tabs>
        <w:ind w:left="1440" w:hanging="720"/>
      </w:pPr>
      <w:rPr>
        <w:rFonts w:hint="default"/>
      </w:rPr>
    </w:lvl>
    <w:lvl w:ilvl="1" w:tplc="945ACC48">
      <w:start w:val="12"/>
      <w:numFmt w:val="decimal"/>
      <w:lvlText w:val="%2."/>
      <w:lvlJc w:val="left"/>
      <w:pPr>
        <w:tabs>
          <w:tab w:val="num" w:pos="1080"/>
        </w:tabs>
        <w:ind w:left="1080" w:hanging="360"/>
      </w:pPr>
      <w:rPr>
        <w:rFonts w:hint="default"/>
      </w:rPr>
    </w:lvl>
    <w:lvl w:ilvl="2" w:tplc="6D781CCC">
      <w:start w:val="1"/>
      <w:numFmt w:val="lowerLetter"/>
      <w:lvlText w:val="%3)"/>
      <w:lvlJc w:val="left"/>
      <w:pPr>
        <w:tabs>
          <w:tab w:val="num" w:pos="720"/>
        </w:tabs>
        <w:ind w:left="720" w:hanging="108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16B57A6"/>
    <w:multiLevelType w:val="hybridMultilevel"/>
    <w:tmpl w:val="8140F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137E0"/>
    <w:multiLevelType w:val="hybridMultilevel"/>
    <w:tmpl w:val="85020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BD0F4F"/>
    <w:multiLevelType w:val="hybridMultilevel"/>
    <w:tmpl w:val="E0800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10"/>
  </w:num>
  <w:num w:numId="4">
    <w:abstractNumId w:val="6"/>
  </w:num>
  <w:num w:numId="5">
    <w:abstractNumId w:val="9"/>
  </w:num>
  <w:num w:numId="6">
    <w:abstractNumId w:val="5"/>
  </w:num>
  <w:num w:numId="7">
    <w:abstractNumId w:val="3"/>
  </w:num>
  <w:num w:numId="8">
    <w:abstractNumId w:val="4"/>
  </w:num>
  <w:num w:numId="9">
    <w:abstractNumId w:val="2"/>
  </w:num>
  <w:num w:numId="10">
    <w:abstractNumId w:val="0"/>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6C3"/>
    <w:rsid w:val="00A576C3"/>
    <w:rsid w:val="00E9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E0F3E-16B9-4DB9-AAA2-2DDF6CC3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6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A576C3"/>
    <w:rPr>
      <w:rFonts w:ascii="Arial" w:eastAsia="Arial Unicode MS" w:hAnsi="Arial" w:cs="Arial"/>
    </w:rPr>
  </w:style>
  <w:style w:type="paragraph" w:styleId="BodyText">
    <w:name w:val="Body Text"/>
    <w:basedOn w:val="Normal"/>
    <w:link w:val="BodyTextChar"/>
    <w:semiHidden/>
    <w:rsid w:val="00A576C3"/>
    <w:rPr>
      <w:b/>
      <w:bCs/>
      <w:i/>
      <w:iCs/>
    </w:rPr>
  </w:style>
  <w:style w:type="character" w:customStyle="1" w:styleId="BodyTextChar">
    <w:name w:val="Body Text Char"/>
    <w:basedOn w:val="DefaultParagraphFont"/>
    <w:link w:val="BodyText"/>
    <w:semiHidden/>
    <w:rsid w:val="00A576C3"/>
    <w:rPr>
      <w:rFonts w:ascii="Times New Roman" w:eastAsia="Times New Roman" w:hAnsi="Times New Roman" w:cs="Times New Roman"/>
      <w:b/>
      <w:bCs/>
      <w:i/>
      <w:iCs/>
      <w:sz w:val="24"/>
      <w:szCs w:val="24"/>
    </w:rPr>
  </w:style>
  <w:style w:type="paragraph" w:styleId="ListParagraph">
    <w:name w:val="List Paragraph"/>
    <w:basedOn w:val="Normal"/>
    <w:uiPriority w:val="34"/>
    <w:qFormat/>
    <w:rsid w:val="00A57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Chorlton, Adam</dc:creator>
  <cp:keywords/>
  <dc:description/>
  <cp:lastModifiedBy>Chorlton, Adam</cp:lastModifiedBy>
  <cp:revision>1</cp:revision>
  <dcterms:created xsi:type="dcterms:W3CDTF">2023-11-28T18:42:00Z</dcterms:created>
  <dcterms:modified xsi:type="dcterms:W3CDTF">2023-11-28T18:42:00Z</dcterms:modified>
</cp:coreProperties>
</file>