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Notice</w:t>
      </w:r>
      <w:r>
        <w:rPr>
          <w:spacing w:val="-7"/>
        </w:rPr>
        <w:t> </w:t>
      </w:r>
      <w:r>
        <w:rPr/>
        <w:t>of</w:t>
      </w:r>
      <w:r>
        <w:rPr>
          <w:spacing w:val="-4"/>
        </w:rPr>
        <w:t> </w:t>
      </w:r>
      <w:r>
        <w:rPr/>
        <w:t>Decision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SNAP</w:t>
      </w:r>
      <w:r>
        <w:rPr>
          <w:spacing w:val="-9"/>
        </w:rPr>
        <w:t> </w:t>
      </w:r>
      <w:r>
        <w:rPr/>
        <w:t>FoodShare Sample</w:t>
      </w:r>
      <w:r>
        <w:rPr>
          <w:spacing w:val="-12"/>
        </w:rPr>
        <w:t> </w:t>
      </w:r>
      <w:r>
        <w:rPr/>
        <w:t>Text</w:t>
      </w:r>
      <w:r>
        <w:rPr>
          <w:spacing w:val="-12"/>
        </w:rPr>
        <w:t> </w:t>
      </w:r>
      <w:r>
        <w:rPr/>
        <w:t>for</w:t>
      </w:r>
      <w:r>
        <w:rPr>
          <w:spacing w:val="-10"/>
        </w:rPr>
        <w:t> </w:t>
      </w:r>
      <w:r>
        <w:rPr/>
        <w:t>Manual</w:t>
      </w:r>
      <w:r>
        <w:rPr>
          <w:spacing w:val="-10"/>
        </w:rPr>
        <w:t> </w:t>
      </w:r>
      <w:r>
        <w:rPr/>
        <w:t>NOD</w:t>
      </w:r>
      <w:r>
        <w:rPr>
          <w:spacing w:val="-10"/>
        </w:rPr>
        <w:t> </w:t>
      </w:r>
      <w:r>
        <w:rPr/>
        <w:t>(F-</w:t>
      </w:r>
      <w:r>
        <w:rPr>
          <w:spacing w:val="-2"/>
        </w:rPr>
        <w:t>16001)</w:t>
      </w:r>
    </w:p>
    <w:p>
      <w:pPr>
        <w:spacing w:before="325"/>
        <w:ind w:left="448" w:right="0" w:firstLine="0"/>
        <w:jc w:val="left"/>
        <w:rPr>
          <w:rFonts w:ascii="Gill Sans MT"/>
          <w:b/>
          <w:sz w:val="24"/>
        </w:rPr>
      </w:pPr>
      <w:r>
        <w:rPr>
          <w:rFonts w:ascii="Gill Sans MT"/>
          <w:b/>
          <w:sz w:val="24"/>
        </w:rPr>
        <w:t>In</w:t>
      </w:r>
      <w:r>
        <w:rPr>
          <w:rFonts w:ascii="Gill Sans MT"/>
          <w:b/>
          <w:spacing w:val="-8"/>
          <w:sz w:val="24"/>
        </w:rPr>
        <w:t> </w:t>
      </w:r>
      <w:r>
        <w:rPr>
          <w:rFonts w:ascii="Gill Sans MT"/>
          <w:b/>
          <w:sz w:val="24"/>
        </w:rPr>
        <w:t>CWW</w:t>
      </w:r>
      <w:r>
        <w:rPr>
          <w:rFonts w:ascii="Gill Sans MT"/>
          <w:b/>
          <w:spacing w:val="-6"/>
          <w:sz w:val="24"/>
        </w:rPr>
        <w:t> </w:t>
      </w:r>
      <w:r>
        <w:rPr>
          <w:rFonts w:ascii="Gill Sans MT"/>
          <w:b/>
          <w:sz w:val="24"/>
        </w:rPr>
        <w:t>&gt;</w:t>
      </w:r>
      <w:r>
        <w:rPr>
          <w:rFonts w:ascii="Gill Sans MT"/>
          <w:b/>
          <w:spacing w:val="-6"/>
          <w:sz w:val="24"/>
        </w:rPr>
        <w:t> </w:t>
      </w:r>
      <w:r>
        <w:rPr>
          <w:rFonts w:ascii="Gill Sans MT"/>
          <w:b/>
          <w:sz w:val="24"/>
        </w:rPr>
        <w:t>Manual</w:t>
      </w:r>
      <w:r>
        <w:rPr>
          <w:rFonts w:ascii="Gill Sans MT"/>
          <w:b/>
          <w:spacing w:val="-6"/>
          <w:sz w:val="24"/>
        </w:rPr>
        <w:t> </w:t>
      </w:r>
      <w:r>
        <w:rPr>
          <w:rFonts w:ascii="Gill Sans MT"/>
          <w:b/>
          <w:sz w:val="24"/>
        </w:rPr>
        <w:t>Letter</w:t>
      </w:r>
      <w:r>
        <w:rPr>
          <w:rFonts w:ascii="Gill Sans MT"/>
          <w:b/>
          <w:spacing w:val="-6"/>
          <w:sz w:val="24"/>
        </w:rPr>
        <w:t> </w:t>
      </w:r>
      <w:r>
        <w:rPr>
          <w:rFonts w:ascii="Gill Sans MT"/>
          <w:b/>
          <w:sz w:val="24"/>
        </w:rPr>
        <w:t>Selection</w:t>
      </w:r>
      <w:r>
        <w:rPr>
          <w:rFonts w:ascii="Gill Sans MT"/>
          <w:b/>
          <w:spacing w:val="-6"/>
          <w:sz w:val="24"/>
        </w:rPr>
        <w:t> </w:t>
      </w:r>
      <w:r>
        <w:rPr>
          <w:rFonts w:ascii="Gill Sans MT"/>
          <w:b/>
          <w:sz w:val="24"/>
        </w:rPr>
        <w:t>&gt;</w:t>
      </w:r>
      <w:r>
        <w:rPr>
          <w:rFonts w:ascii="Gill Sans MT"/>
          <w:b/>
          <w:spacing w:val="-7"/>
          <w:sz w:val="24"/>
        </w:rPr>
        <w:t> </w:t>
      </w:r>
      <w:r>
        <w:rPr>
          <w:rFonts w:ascii="Gill Sans MT"/>
          <w:b/>
          <w:sz w:val="24"/>
        </w:rPr>
        <w:t>Generate</w:t>
      </w:r>
      <w:r>
        <w:rPr>
          <w:rFonts w:ascii="Gill Sans MT"/>
          <w:b/>
          <w:spacing w:val="-6"/>
          <w:sz w:val="24"/>
        </w:rPr>
        <w:t> </w:t>
      </w:r>
      <w:r>
        <w:rPr>
          <w:rFonts w:ascii="Gill Sans MT"/>
          <w:b/>
          <w:sz w:val="24"/>
        </w:rPr>
        <w:t>A</w:t>
      </w:r>
      <w:r>
        <w:rPr>
          <w:rFonts w:ascii="Gill Sans MT"/>
          <w:b/>
          <w:spacing w:val="-6"/>
          <w:sz w:val="24"/>
        </w:rPr>
        <w:t> </w:t>
      </w:r>
      <w:r>
        <w:rPr>
          <w:rFonts w:ascii="Gill Sans MT"/>
          <w:b/>
          <w:sz w:val="24"/>
        </w:rPr>
        <w:t>Free</w:t>
      </w:r>
      <w:r>
        <w:rPr>
          <w:rFonts w:ascii="Gill Sans MT"/>
          <w:b/>
          <w:spacing w:val="-7"/>
          <w:sz w:val="24"/>
        </w:rPr>
        <w:t> </w:t>
      </w:r>
      <w:r>
        <w:rPr>
          <w:rFonts w:ascii="Gill Sans MT"/>
          <w:b/>
          <w:sz w:val="24"/>
        </w:rPr>
        <w:t>Format</w:t>
      </w:r>
      <w:r>
        <w:rPr>
          <w:rFonts w:ascii="Gill Sans MT"/>
          <w:b/>
          <w:spacing w:val="-6"/>
          <w:sz w:val="24"/>
        </w:rPr>
        <w:t> </w:t>
      </w:r>
      <w:r>
        <w:rPr>
          <w:rFonts w:ascii="Gill Sans MT"/>
          <w:b/>
          <w:sz w:val="24"/>
        </w:rPr>
        <w:t>Letter</w:t>
      </w:r>
      <w:r>
        <w:rPr>
          <w:rFonts w:ascii="Gill Sans MT"/>
          <w:b/>
          <w:spacing w:val="-6"/>
          <w:sz w:val="24"/>
        </w:rPr>
        <w:t> </w:t>
      </w:r>
      <w:r>
        <w:rPr>
          <w:rFonts w:ascii="Gill Sans MT"/>
          <w:b/>
          <w:sz w:val="24"/>
        </w:rPr>
        <w:t>&gt;</w:t>
      </w:r>
      <w:r>
        <w:rPr>
          <w:rFonts w:ascii="Gill Sans MT"/>
          <w:b/>
          <w:spacing w:val="-7"/>
          <w:sz w:val="24"/>
        </w:rPr>
        <w:t> </w:t>
      </w:r>
      <w:r>
        <w:rPr>
          <w:rFonts w:ascii="Gill Sans MT"/>
          <w:b/>
          <w:sz w:val="24"/>
        </w:rPr>
        <w:t>Copy</w:t>
      </w:r>
      <w:r>
        <w:rPr>
          <w:rFonts w:ascii="Gill Sans MT"/>
          <w:b/>
          <w:spacing w:val="-7"/>
          <w:sz w:val="24"/>
        </w:rPr>
        <w:t> </w:t>
      </w:r>
      <w:r>
        <w:rPr>
          <w:rFonts w:ascii="Gill Sans MT"/>
          <w:b/>
          <w:sz w:val="24"/>
        </w:rPr>
        <w:t>and</w:t>
      </w:r>
      <w:r>
        <w:rPr>
          <w:rFonts w:ascii="Gill Sans MT"/>
          <w:b/>
          <w:spacing w:val="-9"/>
          <w:sz w:val="24"/>
        </w:rPr>
        <w:t> </w:t>
      </w:r>
      <w:r>
        <w:rPr>
          <w:rFonts w:ascii="Gill Sans MT"/>
          <w:b/>
          <w:spacing w:val="-2"/>
          <w:sz w:val="24"/>
        </w:rPr>
        <w:t>Paste</w:t>
      </w:r>
    </w:p>
    <w:p>
      <w:pPr>
        <w:pStyle w:val="BodyText"/>
        <w:spacing w:before="45"/>
        <w:ind w:left="0"/>
        <w:rPr>
          <w:rFonts w:ascii="Gill Sans MT"/>
          <w:b/>
        </w:rPr>
      </w:pPr>
    </w:p>
    <w:p>
      <w:pPr>
        <w:pStyle w:val="Heading2"/>
      </w:pPr>
      <w:r>
        <w:rPr>
          <w:spacing w:val="-2"/>
        </w:rPr>
        <w:t>Approvals</w:t>
      </w:r>
    </w:p>
    <w:p>
      <w:pPr>
        <w:pStyle w:val="BodyText"/>
        <w:spacing w:before="280"/>
        <w:ind w:right="86"/>
      </w:pPr>
      <w:r>
        <w:rPr/>
        <w:t>The gross income limit for FoodShare is 200% of the Federal Poverty Level (FPL) for the number of members in an assistance group. The Federal Supplemental Nutrition Assistance Program</w:t>
      </w:r>
      <w:r>
        <w:rPr>
          <w:spacing w:val="-1"/>
        </w:rPr>
        <w:t> </w:t>
      </w:r>
      <w:r>
        <w:rPr/>
        <w:t>(SNAP)</w:t>
      </w:r>
      <w:r>
        <w:rPr>
          <w:spacing w:val="-5"/>
        </w:rPr>
        <w:t> </w:t>
      </w:r>
      <w:r>
        <w:rPr/>
        <w:t>allows</w:t>
      </w:r>
      <w:r>
        <w:rPr>
          <w:spacing w:val="-2"/>
        </w:rPr>
        <w:t> </w:t>
      </w:r>
      <w:r>
        <w:rPr/>
        <w:t>special</w:t>
      </w:r>
      <w:r>
        <w:rPr>
          <w:spacing w:val="-5"/>
        </w:rPr>
        <w:t> </w:t>
      </w:r>
      <w:r>
        <w:rPr/>
        <w:t>rules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households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include</w:t>
      </w:r>
      <w:r>
        <w:rPr>
          <w:spacing w:val="-2"/>
        </w:rPr>
        <w:t> </w:t>
      </w:r>
      <w:r>
        <w:rPr/>
        <w:t>at</w:t>
      </w:r>
      <w:r>
        <w:rPr>
          <w:spacing w:val="-6"/>
        </w:rPr>
        <w:t> </w:t>
      </w:r>
      <w:r>
        <w:rPr/>
        <w:t>least</w:t>
      </w:r>
      <w:r>
        <w:rPr>
          <w:spacing w:val="-3"/>
        </w:rPr>
        <w:t> </w:t>
      </w:r>
      <w:r>
        <w:rPr/>
        <w:t>one</w:t>
      </w:r>
      <w:r>
        <w:rPr>
          <w:spacing w:val="-5"/>
        </w:rPr>
        <w:t> </w:t>
      </w:r>
      <w:r>
        <w:rPr/>
        <w:t>member</w:t>
      </w:r>
      <w:r>
        <w:rPr>
          <w:spacing w:val="-6"/>
        </w:rPr>
        <w:t> </w:t>
      </w:r>
      <w:r>
        <w:rPr/>
        <w:t>who</w:t>
      </w:r>
      <w:r>
        <w:rPr>
          <w:spacing w:val="-5"/>
        </w:rPr>
        <w:t> </w:t>
      </w:r>
      <w:r>
        <w:rPr/>
        <w:t>has been determined elderly, blind, or disabled (EBD) if that household has gross income that is above 200% of the FPL. We have used those rules to process your application or renewal.</w:t>
      </w:r>
    </w:p>
    <w:p>
      <w:pPr>
        <w:pStyle w:val="BodyText"/>
        <w:ind w:right="458"/>
      </w:pPr>
      <w:r>
        <w:rPr/>
        <w:t>Your FoodShare application or renewal has been approved. The calculations used for your allotment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enclosed</w:t>
      </w:r>
      <w:r>
        <w:rPr>
          <w:spacing w:val="-2"/>
        </w:rPr>
        <w:t> </w:t>
      </w:r>
      <w:r>
        <w:rPr/>
        <w:t>with</w:t>
      </w:r>
      <w:r>
        <w:rPr>
          <w:spacing w:val="-7"/>
        </w:rPr>
        <w:t> </w:t>
      </w:r>
      <w:r>
        <w:rPr/>
        <w:t>this</w:t>
      </w:r>
      <w:r>
        <w:rPr>
          <w:spacing w:val="-6"/>
        </w:rPr>
        <w:t> </w:t>
      </w:r>
      <w:r>
        <w:rPr/>
        <w:t>notice.</w:t>
      </w:r>
      <w:r>
        <w:rPr>
          <w:spacing w:val="-1"/>
        </w:rPr>
        <w:t> </w:t>
      </w:r>
      <w:r>
        <w:rPr/>
        <w:t>Please</w:t>
      </w:r>
      <w:r>
        <w:rPr>
          <w:spacing w:val="-5"/>
        </w:rPr>
        <w:t> </w:t>
      </w:r>
      <w:r>
        <w:rPr/>
        <w:t>call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agency</w:t>
      </w:r>
      <w:r>
        <w:rPr>
          <w:spacing w:val="-7"/>
        </w:rPr>
        <w:t> </w:t>
      </w:r>
      <w:r>
        <w:rPr/>
        <w:t>at</w:t>
      </w:r>
      <w:r>
        <w:rPr>
          <w:spacing w:val="-2"/>
        </w:rPr>
        <w:t> </w:t>
      </w:r>
      <w:r>
        <w:rPr/>
        <w:t>1-888-794-5556</w:t>
      </w:r>
      <w:r>
        <w:rPr>
          <w:spacing w:val="-5"/>
        </w:rPr>
        <w:t> </w:t>
      </w: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have questions. Thank you.</w:t>
      </w:r>
    </w:p>
    <w:p>
      <w:pPr>
        <w:pStyle w:val="Heading2"/>
        <w:spacing w:before="278"/>
      </w:pPr>
      <w:r>
        <w:rPr>
          <w:spacing w:val="-2"/>
        </w:rPr>
        <w:t>Denials</w:t>
      </w:r>
    </w:p>
    <w:p>
      <w:pPr>
        <w:pStyle w:val="BodyText"/>
        <w:spacing w:before="280"/>
        <w:ind w:right="86"/>
      </w:pPr>
      <w:r>
        <w:rPr/>
        <w:t>The gross income limit for FoodShare is 200% of the Federal Poverty Level (FPL) for the number of members in an assistance group. The Federal Supplemental Nutrition Assistance Program</w:t>
      </w:r>
      <w:r>
        <w:rPr>
          <w:spacing w:val="-1"/>
        </w:rPr>
        <w:t> </w:t>
      </w:r>
      <w:r>
        <w:rPr/>
        <w:t>(SNAP)</w:t>
      </w:r>
      <w:r>
        <w:rPr>
          <w:spacing w:val="-5"/>
        </w:rPr>
        <w:t> </w:t>
      </w:r>
      <w:r>
        <w:rPr/>
        <w:t>allows</w:t>
      </w:r>
      <w:r>
        <w:rPr>
          <w:spacing w:val="-2"/>
        </w:rPr>
        <w:t> </w:t>
      </w:r>
      <w:r>
        <w:rPr/>
        <w:t>special</w:t>
      </w:r>
      <w:r>
        <w:rPr>
          <w:spacing w:val="-5"/>
        </w:rPr>
        <w:t> </w:t>
      </w:r>
      <w:r>
        <w:rPr/>
        <w:t>rules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households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include</w:t>
      </w:r>
      <w:r>
        <w:rPr>
          <w:spacing w:val="-2"/>
        </w:rPr>
        <w:t> </w:t>
      </w:r>
      <w:r>
        <w:rPr/>
        <w:t>at</w:t>
      </w:r>
      <w:r>
        <w:rPr>
          <w:spacing w:val="-6"/>
        </w:rPr>
        <w:t> </w:t>
      </w:r>
      <w:r>
        <w:rPr/>
        <w:t>least</w:t>
      </w:r>
      <w:r>
        <w:rPr>
          <w:spacing w:val="-3"/>
        </w:rPr>
        <w:t> </w:t>
      </w:r>
      <w:r>
        <w:rPr/>
        <w:t>one</w:t>
      </w:r>
      <w:r>
        <w:rPr>
          <w:spacing w:val="-5"/>
        </w:rPr>
        <w:t> </w:t>
      </w:r>
      <w:r>
        <w:rPr/>
        <w:t>member</w:t>
      </w:r>
      <w:r>
        <w:rPr>
          <w:spacing w:val="-6"/>
        </w:rPr>
        <w:t> </w:t>
      </w:r>
      <w:r>
        <w:rPr/>
        <w:t>who</w:t>
      </w:r>
      <w:r>
        <w:rPr>
          <w:spacing w:val="-5"/>
        </w:rPr>
        <w:t> </w:t>
      </w:r>
      <w:r>
        <w:rPr/>
        <w:t>has been determined elderly, blind, or disabled (EBD) if that household has gross income that is above 200% of the FPL. We have used those rules to process your application or renewal.</w:t>
      </w:r>
    </w:p>
    <w:p>
      <w:pPr>
        <w:pStyle w:val="BodyText"/>
      </w:pPr>
      <w:r>
        <w:rPr/>
        <w:t>Your</w:t>
      </w:r>
      <w:r>
        <w:rPr>
          <w:spacing w:val="-8"/>
        </w:rPr>
        <w:t> </w:t>
      </w:r>
      <w:r>
        <w:rPr/>
        <w:t>FoodShare</w:t>
      </w:r>
      <w:r>
        <w:rPr>
          <w:spacing w:val="-6"/>
        </w:rPr>
        <w:t> </w:t>
      </w:r>
      <w:r>
        <w:rPr/>
        <w:t>application</w:t>
      </w:r>
      <w:r>
        <w:rPr>
          <w:spacing w:val="-8"/>
        </w:rPr>
        <w:t> </w:t>
      </w:r>
      <w:r>
        <w:rPr/>
        <w:t>or</w:t>
      </w:r>
      <w:r>
        <w:rPr>
          <w:spacing w:val="-4"/>
        </w:rPr>
        <w:t> </w:t>
      </w:r>
      <w:r>
        <w:rPr/>
        <w:t>renewal</w:t>
      </w:r>
      <w:r>
        <w:rPr>
          <w:spacing w:val="-4"/>
        </w:rPr>
        <w:t> </w:t>
      </w:r>
      <w:r>
        <w:rPr/>
        <w:t>has</w:t>
      </w:r>
      <w:r>
        <w:rPr>
          <w:spacing w:val="-6"/>
        </w:rPr>
        <w:t> </w:t>
      </w:r>
      <w:r>
        <w:rPr/>
        <w:t>been</w:t>
      </w:r>
      <w:r>
        <w:rPr>
          <w:spacing w:val="-5"/>
        </w:rPr>
        <w:t> </w:t>
      </w:r>
      <w:r>
        <w:rPr/>
        <w:t>denied</w:t>
      </w:r>
      <w:r>
        <w:rPr>
          <w:spacing w:val="-4"/>
        </w:rPr>
        <w:t> </w:t>
      </w:r>
      <w:r>
        <w:rPr/>
        <w:t>because </w:t>
      </w:r>
      <w:r>
        <w:rPr>
          <w:rFonts w:ascii="Garamond"/>
          <w:b/>
          <w:color w:val="800000"/>
        </w:rPr>
        <w:t>[</w:t>
      </w:r>
      <w:r>
        <w:rPr>
          <w:color w:val="800000"/>
        </w:rPr>
        <w:t>worker</w:t>
      </w:r>
      <w:r>
        <w:rPr>
          <w:color w:val="800000"/>
          <w:spacing w:val="-5"/>
        </w:rPr>
        <w:t> </w:t>
      </w:r>
      <w:r>
        <w:rPr>
          <w:color w:val="800000"/>
        </w:rPr>
        <w:t>chooses</w:t>
      </w:r>
      <w:r>
        <w:rPr>
          <w:color w:val="800000"/>
          <w:spacing w:val="-4"/>
        </w:rPr>
        <w:t> </w:t>
      </w:r>
      <w:r>
        <w:rPr>
          <w:color w:val="800000"/>
        </w:rPr>
        <w:t>the</w:t>
      </w:r>
      <w:r>
        <w:rPr>
          <w:color w:val="800000"/>
          <w:spacing w:val="-4"/>
        </w:rPr>
        <w:t> </w:t>
      </w:r>
      <w:r>
        <w:rPr>
          <w:color w:val="800000"/>
        </w:rPr>
        <w:t>correct wording from the three options below to complete this sentence]</w:t>
      </w:r>
    </w:p>
    <w:p>
      <w:pPr>
        <w:pStyle w:val="BodyText"/>
        <w:spacing w:before="293"/>
        <w:ind w:left="11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61216">
                <wp:simplePos x="0" y="0"/>
                <wp:positionH relativeFrom="page">
                  <wp:posOffset>3169919</wp:posOffset>
                </wp:positionH>
                <wp:positionV relativeFrom="paragraph">
                  <wp:posOffset>372270</wp:posOffset>
                </wp:positionV>
                <wp:extent cx="3836035" cy="18605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3836035" cy="186055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</wps:spPr>
                      <wps:txbx>
                        <w:txbxContent>
                          <w:p>
                            <w:pPr>
                              <w:spacing w:before="18"/>
                              <w:ind w:left="0" w:right="0" w:firstLine="0"/>
                              <w:jc w:val="left"/>
                              <w:rPr>
                                <w:i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Reminder</w:t>
                            </w:r>
                            <w:r>
                              <w:rPr>
                                <w:i/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to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workers: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Per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DMS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OPS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Memo</w:t>
                            </w:r>
                            <w:r>
                              <w:rPr>
                                <w:i/>
                                <w:color w:val="0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22"/>
                              </w:rPr>
                              <w:t>25-22, assets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2"/>
                              </w:rPr>
                              <w:t>reported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49.599991pt;margin-top:29.312672pt;width:302.05pt;height:14.65pt;mso-position-horizontal-relative:page;mso-position-vertical-relative:paragraph;z-index:-15755264" type="#_x0000_t202" id="docshape1" filled="true" fillcolor="#00ffff" stroked="false">
                <v:textbox inset="0,0,0,0">
                  <w:txbxContent>
                    <w:p>
                      <w:pPr>
                        <w:spacing w:before="18"/>
                        <w:ind w:left="0" w:right="0" w:firstLine="0"/>
                        <w:jc w:val="left"/>
                        <w:rPr>
                          <w:i/>
                          <w:color w:val="000000"/>
                          <w:sz w:val="22"/>
                        </w:rPr>
                      </w:pPr>
                      <w:r>
                        <w:rPr>
                          <w:i/>
                          <w:color w:val="000000"/>
                          <w:sz w:val="22"/>
                        </w:rPr>
                        <w:t>Reminder</w:t>
                      </w:r>
                      <w:r>
                        <w:rPr>
                          <w:i/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to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workers:</w:t>
                      </w:r>
                      <w:r>
                        <w:rPr>
                          <w:i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Per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DMS</w:t>
                      </w:r>
                      <w:r>
                        <w:rPr>
                          <w:i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OPS</w:t>
                      </w:r>
                      <w:r>
                        <w:rPr>
                          <w:i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Memo</w:t>
                      </w:r>
                      <w:r>
                        <w:rPr>
                          <w:i/>
                          <w:color w:val="0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22"/>
                        </w:rPr>
                        <w:t>25-22, assets</w:t>
                      </w:r>
                      <w:r>
                        <w:rPr>
                          <w:i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i/>
                          <w:color w:val="000000"/>
                          <w:spacing w:val="-2"/>
                          <w:sz w:val="22"/>
                        </w:rPr>
                        <w:t>reported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w:t>the</w:t>
      </w:r>
      <w:r>
        <w:rPr>
          <w:spacing w:val="-5"/>
        </w:rPr>
        <w:t> </w:t>
      </w:r>
      <w:r>
        <w:rPr/>
        <w:t>FoodShare-countable</w:t>
      </w:r>
      <w:r>
        <w:rPr>
          <w:spacing w:val="-5"/>
        </w:rPr>
        <w:t> </w:t>
      </w:r>
      <w:r>
        <w:rPr/>
        <w:t>assets</w:t>
      </w:r>
      <w:r>
        <w:rPr>
          <w:spacing w:val="-6"/>
        </w:rPr>
        <w:t> </w:t>
      </w:r>
      <w:r>
        <w:rPr/>
        <w:t>for</w:t>
      </w:r>
      <w:r>
        <w:rPr>
          <w:spacing w:val="-5"/>
        </w:rPr>
        <w:t> </w:t>
      </w:r>
      <w:r>
        <w:rPr/>
        <w:t>your</w:t>
      </w:r>
      <w:r>
        <w:rPr>
          <w:spacing w:val="-7"/>
        </w:rPr>
        <w:t> </w:t>
      </w:r>
      <w:r>
        <w:rPr/>
        <w:t>household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over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program</w:t>
      </w:r>
      <w:r>
        <w:rPr>
          <w:spacing w:val="-2"/>
        </w:rPr>
        <w:t> </w:t>
      </w:r>
      <w:r>
        <w:rPr/>
        <w:t>limit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$4750 per household (7 CFR 273.8).</w:t>
      </w:r>
    </w:p>
    <w:p>
      <w:pPr>
        <w:spacing w:line="268" w:lineRule="exact" w:before="0"/>
        <w:ind w:left="1152" w:right="0" w:firstLine="0"/>
        <w:jc w:val="left"/>
        <w:rPr>
          <w:i/>
          <w:sz w:val="22"/>
        </w:rPr>
      </w:pPr>
      <w:r>
        <w:rPr>
          <w:i/>
          <w:color w:val="000000"/>
          <w:sz w:val="22"/>
          <w:highlight w:val="cyan"/>
        </w:rPr>
        <w:t>for</w:t>
      </w:r>
      <w:r>
        <w:rPr>
          <w:i/>
          <w:color w:val="000000"/>
          <w:spacing w:val="-3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FS</w:t>
      </w:r>
      <w:r>
        <w:rPr>
          <w:i/>
          <w:color w:val="000000"/>
          <w:spacing w:val="-3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do not</w:t>
      </w:r>
      <w:r>
        <w:rPr>
          <w:i/>
          <w:color w:val="000000"/>
          <w:spacing w:val="-4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require</w:t>
      </w:r>
      <w:r>
        <w:rPr>
          <w:i/>
          <w:color w:val="000000"/>
          <w:spacing w:val="-2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verification</w:t>
      </w:r>
      <w:r>
        <w:rPr>
          <w:i/>
          <w:color w:val="000000"/>
          <w:spacing w:val="-3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unless</w:t>
      </w:r>
      <w:r>
        <w:rPr>
          <w:i/>
          <w:color w:val="000000"/>
          <w:spacing w:val="-2"/>
          <w:sz w:val="22"/>
          <w:highlight w:val="cyan"/>
        </w:rPr>
        <w:t> questionable.</w:t>
      </w:r>
    </w:p>
    <w:p>
      <w:pPr>
        <w:pStyle w:val="BodyText"/>
        <w:spacing w:before="24"/>
        <w:ind w:left="0"/>
        <w:rPr>
          <w:i/>
          <w:sz w:val="22"/>
        </w:rPr>
      </w:pPr>
    </w:p>
    <w:p>
      <w:pPr>
        <w:pStyle w:val="BodyText"/>
        <w:spacing w:before="0"/>
        <w:ind w:left="1152" w:right="86"/>
      </w:pPr>
      <w:r>
        <w:rPr/>
        <w:t>the income we counted for your household (after allowing for FoodShare-countable expense</w:t>
      </w:r>
      <w:r>
        <w:rPr>
          <w:spacing w:val="-1"/>
        </w:rPr>
        <w:t> </w:t>
      </w:r>
      <w:r>
        <w:rPr/>
        <w:t>deductions)</w:t>
      </w:r>
      <w:r>
        <w:rPr>
          <w:spacing w:val="-4"/>
        </w:rPr>
        <w:t> </w:t>
      </w:r>
      <w:r>
        <w:rPr/>
        <w:t>is</w:t>
      </w:r>
      <w:r>
        <w:rPr>
          <w:spacing w:val="-7"/>
        </w:rPr>
        <w:t> </w:t>
      </w:r>
      <w:r>
        <w:rPr/>
        <w:t>over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net</w:t>
      </w:r>
      <w:r>
        <w:rPr>
          <w:spacing w:val="-4"/>
        </w:rPr>
        <w:t> </w:t>
      </w:r>
      <w:r>
        <w:rPr/>
        <w:t>income</w:t>
      </w:r>
      <w:r>
        <w:rPr>
          <w:spacing w:val="-4"/>
        </w:rPr>
        <w:t> </w:t>
      </w:r>
      <w:r>
        <w:rPr/>
        <w:t>limit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100%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Federal</w:t>
      </w:r>
      <w:r>
        <w:rPr>
          <w:spacing w:val="-4"/>
        </w:rPr>
        <w:t> </w:t>
      </w:r>
      <w:r>
        <w:rPr/>
        <w:t>Poverty</w:t>
      </w:r>
      <w:r>
        <w:rPr>
          <w:spacing w:val="-4"/>
        </w:rPr>
        <w:t> </w:t>
      </w:r>
      <w:r>
        <w:rPr/>
        <w:t>Level used under SNAP rules (7 CFR 273.9).</w:t>
      </w:r>
    </w:p>
    <w:p>
      <w:pPr>
        <w:pStyle w:val="BodyText"/>
        <w:spacing w:before="2"/>
        <w:ind w:left="0"/>
      </w:pPr>
    </w:p>
    <w:p>
      <w:pPr>
        <w:pStyle w:val="BodyText"/>
        <w:spacing w:before="0"/>
        <w:ind w:left="1152" w:right="458"/>
      </w:pPr>
      <w:r>
        <w:rPr/>
        <w:t>it</w:t>
      </w:r>
      <w:r>
        <w:rPr>
          <w:spacing w:val="-7"/>
        </w:rPr>
        <w:t> </w:t>
      </w:r>
      <w:r>
        <w:rPr/>
        <w:t>has</w:t>
      </w:r>
      <w:r>
        <w:rPr>
          <w:spacing w:val="-5"/>
        </w:rPr>
        <w:t> </w:t>
      </w:r>
      <w:r>
        <w:rPr/>
        <w:t>been</w:t>
      </w:r>
      <w:r>
        <w:rPr>
          <w:spacing w:val="-3"/>
        </w:rPr>
        <w:t> </w:t>
      </w:r>
      <w:r>
        <w:rPr/>
        <w:t>determined</w:t>
      </w:r>
      <w:r>
        <w:rPr>
          <w:spacing w:val="-2"/>
        </w:rPr>
        <w:t> </w:t>
      </w:r>
      <w:r>
        <w:rPr/>
        <w:t>that</w:t>
      </w:r>
      <w:r>
        <w:rPr>
          <w:spacing w:val="-7"/>
        </w:rPr>
        <w:t> </w:t>
      </w:r>
      <w:r>
        <w:rPr/>
        <w:t>you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divested.</w:t>
      </w:r>
      <w:r>
        <w:rPr>
          <w:spacing w:val="-5"/>
        </w:rPr>
        <w:t> </w:t>
      </w:r>
      <w:r>
        <w:rPr/>
        <w:t>You</w:t>
      </w:r>
      <w:r>
        <w:rPr>
          <w:spacing w:val="-5"/>
        </w:rPr>
        <w:t> </w:t>
      </w:r>
      <w:r>
        <w:rPr/>
        <w:t>will</w:t>
      </w:r>
      <w:r>
        <w:rPr>
          <w:spacing w:val="-5"/>
        </w:rPr>
        <w:t> </w:t>
      </w:r>
      <w:r>
        <w:rPr/>
        <w:t>be</w:t>
      </w:r>
      <w:r>
        <w:rPr>
          <w:spacing w:val="-2"/>
        </w:rPr>
        <w:t> </w:t>
      </w:r>
      <w:r>
        <w:rPr/>
        <w:t>ineligible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FoodShare based on Federal rules for </w:t>
      </w:r>
      <w:r>
        <w:rPr>
          <w:color w:val="800000"/>
        </w:rPr>
        <w:t>[worker fills in months of divestment] </w:t>
      </w:r>
      <w:r>
        <w:rPr/>
        <w:t>(7 CFR 273.8).</w:t>
      </w:r>
    </w:p>
    <w:p>
      <w:pPr>
        <w:pStyle w:val="BodyText"/>
      </w:pPr>
      <w:r>
        <w:rPr/>
        <w:t>To</w:t>
      </w:r>
      <w:r>
        <w:rPr>
          <w:spacing w:val="-4"/>
        </w:rPr>
        <w:t> </w:t>
      </w:r>
      <w:r>
        <w:rPr/>
        <w:t>learn</w:t>
      </w:r>
      <w:r>
        <w:rPr>
          <w:spacing w:val="-6"/>
        </w:rPr>
        <w:t> </w:t>
      </w:r>
      <w:r>
        <w:rPr/>
        <w:t>more, please</w:t>
      </w:r>
      <w:r>
        <w:rPr>
          <w:spacing w:val="-4"/>
        </w:rPr>
        <w:t> </w:t>
      </w:r>
      <w:r>
        <w:rPr/>
        <w:t>see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enclosed</w:t>
      </w:r>
      <w:r>
        <w:rPr>
          <w:spacing w:val="-4"/>
        </w:rPr>
        <w:t> </w:t>
      </w:r>
      <w:r>
        <w:rPr/>
        <w:t>worksheet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call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agency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1-888-794-5556</w:t>
      </w:r>
      <w:r>
        <w:rPr>
          <w:spacing w:val="-1"/>
        </w:rPr>
        <w:t> </w:t>
      </w:r>
      <w:r>
        <w:rPr/>
        <w:t>if</w:t>
      </w:r>
      <w:r>
        <w:rPr>
          <w:spacing w:val="-6"/>
        </w:rPr>
        <w:t> </w:t>
      </w:r>
      <w:r>
        <w:rPr/>
        <w:t>you have questions. Thank you.</w:t>
      </w:r>
    </w:p>
    <w:p>
      <w:pPr>
        <w:pStyle w:val="Heading2"/>
        <w:spacing w:before="292"/>
        <w:ind w:left="1152" w:right="458" w:hanging="915"/>
      </w:pPr>
      <w:r>
        <w:rPr>
          <w:b w:val="0"/>
          <w:position w:val="-2"/>
        </w:rPr>
        <w:drawing>
          <wp:inline distT="0" distB="0" distL="0" distR="0">
            <wp:extent cx="542544" cy="181355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544" cy="18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2"/>
        </w:rPr>
      </w:r>
      <w:r>
        <w:rPr>
          <w:rFonts w:ascii="Times New Roman"/>
          <w:b w:val="0"/>
          <w:sz w:val="20"/>
        </w:rPr>
        <w:t> </w:t>
      </w:r>
      <w:r>
        <w:rPr/>
        <w:t>Suppress</w:t>
      </w:r>
      <w:r>
        <w:rPr>
          <w:spacing w:val="-7"/>
        </w:rPr>
        <w:t> </w:t>
      </w:r>
      <w:r>
        <w:rPr/>
        <w:t>system</w:t>
      </w:r>
      <w:r>
        <w:rPr>
          <w:spacing w:val="-8"/>
        </w:rPr>
        <w:t> </w:t>
      </w:r>
      <w:r>
        <w:rPr/>
        <w:t>notices</w:t>
      </w:r>
      <w:r>
        <w:rPr>
          <w:spacing w:val="-7"/>
        </w:rPr>
        <w:t> </w:t>
      </w:r>
      <w:r>
        <w:rPr/>
        <w:t>and</w:t>
      </w:r>
      <w:r>
        <w:rPr>
          <w:spacing w:val="-8"/>
        </w:rPr>
        <w:t> </w:t>
      </w:r>
      <w:r>
        <w:rPr/>
        <w:t>enclose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completed</w:t>
      </w:r>
      <w:r>
        <w:rPr>
          <w:spacing w:val="-8"/>
        </w:rPr>
        <w:t> </w:t>
      </w:r>
      <w:r>
        <w:rPr/>
        <w:t>FoodShare worksheet (F-16033) with the Manual NOD.</w:t>
      </w:r>
    </w:p>
    <w:p>
      <w:pPr>
        <w:pStyle w:val="BodyText"/>
        <w:spacing w:before="141"/>
        <w:ind w:left="0"/>
        <w:rPr>
          <w:rFonts w:ascii="Gill Sans MT"/>
          <w:b/>
          <w:sz w:val="20"/>
        </w:rPr>
      </w:pPr>
    </w:p>
    <w:p>
      <w:pPr>
        <w:spacing w:before="1"/>
        <w:ind w:left="0" w:right="76" w:firstLine="0"/>
        <w:jc w:val="right"/>
        <w:rPr>
          <w:sz w:val="20"/>
        </w:rPr>
      </w:pPr>
      <w:r>
        <w:rPr>
          <w:sz w:val="20"/>
        </w:rPr>
        <w:t>Updated</w:t>
      </w:r>
      <w:r>
        <w:rPr>
          <w:spacing w:val="-7"/>
          <w:sz w:val="20"/>
        </w:rPr>
        <w:t> </w:t>
      </w:r>
      <w:r>
        <w:rPr>
          <w:sz w:val="20"/>
        </w:rPr>
        <w:t>10/5/2026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O’Dea</w:t>
      </w:r>
    </w:p>
    <w:sectPr>
      <w:type w:val="continuous"/>
      <w:pgSz w:w="12240" w:h="15840"/>
      <w:pgMar w:top="640" w:bottom="28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nstantia">
    <w:altName w:val="Constantia"/>
    <w:charset w:val="0"/>
    <w:family w:val="roman"/>
    <w:pitch w:val="variable"/>
  </w:font>
  <w:font w:name="Gill Sans MT">
    <w:altName w:val="Gill Sans MT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nstantia" w:hAnsi="Constantia" w:eastAsia="Constantia" w:cs="Constanti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92"/>
      <w:ind w:left="432"/>
    </w:pPr>
    <w:rPr>
      <w:rFonts w:ascii="Constantia" w:hAnsi="Constantia" w:eastAsia="Constantia" w:cs="Constanti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9"/>
      <w:ind w:left="2008" w:right="458" w:firstLine="9"/>
      <w:outlineLvl w:val="1"/>
    </w:pPr>
    <w:rPr>
      <w:rFonts w:ascii="Gill Sans MT" w:hAnsi="Gill Sans MT" w:eastAsia="Gill Sans MT" w:cs="Gill Sans MT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32"/>
      <w:outlineLvl w:val="2"/>
    </w:pPr>
    <w:rPr>
      <w:rFonts w:ascii="Gill Sans MT" w:hAnsi="Gill Sans MT" w:eastAsia="Gill Sans MT" w:cs="Gill Sans MT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O'Dea, Jamie</dc:creator>
  <dc:title>Microsoft Word - Sample NOD Text for SNAP FS - updated 10.5.26</dc:title>
  <dcterms:created xsi:type="dcterms:W3CDTF">2026-10-06T20:22:53Z</dcterms:created>
  <dcterms:modified xsi:type="dcterms:W3CDTF">2026-10-06T20:22:53Z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LastSaved">
    <vt:filetime>2026-10-06T00:00:00Z</vt:filetime>
  </property>
  <property fmtid="{D5CDD505-2E9C-101B-9397-08002B2CF9AE}" pid="4" name="Producer">
    <vt:lpwstr>Microsoft: Print To PDF</vt:lpwstr>
  </property>
</Properties>
</file>